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D2" w:rsidRDefault="00B7483A" w:rsidP="00B7483A">
      <w:pPr>
        <w:ind w:left="5664"/>
        <w:rPr>
          <w:b/>
        </w:rPr>
      </w:pPr>
      <w:r w:rsidRPr="00B7483A">
        <w:rPr>
          <w:b/>
          <w:noProof/>
          <w:lang w:eastAsia="hu-HU"/>
        </w:rPr>
        <w:drawing>
          <wp:inline distT="0" distB="0" distL="0" distR="0">
            <wp:extent cx="1079771" cy="648212"/>
            <wp:effectExtent l="0" t="0" r="6350" b="0"/>
            <wp:docPr id="2" name="Kép 2" descr="M:\Kommunikacio\Kiadványok\2016\00_Arculat\logok\TKA\hazi_hasznalatra\tka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Kommunikacio\Kiadványok\2016\00_Arculat\logok\TKA\hazi_hasznalatra\tka_logo_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41" cy="6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83A">
        <w:rPr>
          <w:b/>
          <w:noProof/>
          <w:lang w:eastAsia="hu-HU"/>
        </w:rPr>
        <w:drawing>
          <wp:inline distT="0" distB="0" distL="0" distR="0">
            <wp:extent cx="1070610" cy="641231"/>
            <wp:effectExtent l="0" t="0" r="0" b="6985"/>
            <wp:docPr id="1" name="Kép 1" descr="M:\Felsooktatas_K+F\Stipendium_Hungaricum\01_Altalanos_SH\02_Sablonok\02_Ervenyes\SH_SiHlogo_vizszint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elsooktatas_K+F\Stipendium_Hungaricum\01_Altalanos_SH\02_Sablonok\02_Ervenyes\SH_SiHlogo_vizszint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54" cy="7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75" w:rsidRPr="007B15D2" w:rsidRDefault="002F123A" w:rsidP="00E03637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7B1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>Pályázati felhívás</w:t>
      </w:r>
      <w:r w:rsidR="00E03637" w:rsidRPr="007B1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a Stipendium Hungaricum programban való </w:t>
      </w:r>
      <w:r w:rsidR="00DB43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intézményi </w:t>
      </w:r>
      <w:r w:rsidR="00E03637" w:rsidRPr="007B1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>részvételre</w:t>
      </w:r>
    </w:p>
    <w:p w:rsidR="007B15D2" w:rsidRPr="007B15D2" w:rsidRDefault="007B15D2" w:rsidP="007B15D2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</w:pPr>
      <w:proofErr w:type="gramStart"/>
      <w:r w:rsidRPr="007B1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>a</w:t>
      </w:r>
      <w:proofErr w:type="gramEnd"/>
      <w:r w:rsidRPr="007B1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2017/18-as és a 2018/19-es tanévekre vonatkozóan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7893870"/>
        <w:docPartObj>
          <w:docPartGallery w:val="Table of Contents"/>
          <w:docPartUnique/>
        </w:docPartObj>
      </w:sdtPr>
      <w:sdtEndPr/>
      <w:sdtContent>
        <w:p w:rsidR="00E03637" w:rsidRDefault="00E03637">
          <w:pPr>
            <w:pStyle w:val="Tartalomjegyzkcmsora"/>
          </w:pPr>
          <w:r>
            <w:t>Tartalom</w:t>
          </w:r>
        </w:p>
        <w:p w:rsidR="008F16AB" w:rsidRDefault="00E0363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010573" w:history="1">
            <w:r w:rsidR="008F16AB" w:rsidRPr="003064DF">
              <w:rPr>
                <w:rStyle w:val="Hiperhivatkozs"/>
                <w:noProof/>
              </w:rPr>
              <w:t>Bevezetés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_Toc461010573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2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4" w:history="1">
            <w:r w:rsidR="008F16AB" w:rsidRPr="003064DF">
              <w:rPr>
                <w:rStyle w:val="Hiperhivatkozs"/>
                <w:noProof/>
              </w:rPr>
              <w:t>A program átfogó céljai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_Toc461010574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2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5" w:history="1">
            <w:r w:rsidR="008F16AB" w:rsidRPr="003064DF">
              <w:rPr>
                <w:rStyle w:val="Hiperhivatkozs"/>
                <w:noProof/>
              </w:rPr>
              <w:t>A program felépítése, támogatható tevékenységek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_Toc461010575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2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6" w:history="1">
            <w:r w:rsidR="008F16AB" w:rsidRPr="003064DF">
              <w:rPr>
                <w:rStyle w:val="Hiperhivatkozs"/>
                <w:noProof/>
              </w:rPr>
              <w:t>1.</w:t>
            </w:r>
            <w:r w:rsidR="008F16AB">
              <w:rPr>
                <w:rFonts w:eastAsiaTheme="minorEastAsia"/>
                <w:noProof/>
                <w:lang w:eastAsia="hu-HU"/>
              </w:rPr>
              <w:tab/>
            </w:r>
            <w:r w:rsidR="008F16AB" w:rsidRPr="003064DF">
              <w:rPr>
                <w:rStyle w:val="Hiperhivatkozs"/>
                <w:noProof/>
              </w:rPr>
              <w:t>Egyéni pályázatok: Stipendium Hungaricum Ösztöndíjak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_Toc461010576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2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7" w:history="1">
            <w:r w:rsidR="008F16AB" w:rsidRPr="003064DF">
              <w:rPr>
                <w:rStyle w:val="Hiperhivatkozs"/>
                <w:noProof/>
              </w:rPr>
              <w:t>2.</w:t>
            </w:r>
            <w:r w:rsidR="008F16AB">
              <w:rPr>
                <w:rFonts w:eastAsiaTheme="minorEastAsia"/>
                <w:noProof/>
                <w:lang w:eastAsia="hu-HU"/>
              </w:rPr>
              <w:tab/>
            </w:r>
            <w:r w:rsidR="008F16AB" w:rsidRPr="003064DF">
              <w:rPr>
                <w:rStyle w:val="Hiperhivatkozs"/>
                <w:noProof/>
              </w:rPr>
              <w:t>Intézményi pályázatok: Képzések és felsőoktatási előkészítő tanulmányok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_Toc461010577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3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8" w:history="1">
            <w:r w:rsidR="008F16AB" w:rsidRPr="003064DF">
              <w:rPr>
                <w:rStyle w:val="Hiperhivatkozs"/>
                <w:noProof/>
              </w:rPr>
              <w:t>Az intézményi pályázati konstrukció egyes lényeges kérdései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_Toc461010578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4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79" w:history="1">
            <w:r w:rsidR="008F16AB" w:rsidRPr="003064DF">
              <w:rPr>
                <w:rStyle w:val="Hiperhivatkozs"/>
                <w:noProof/>
              </w:rPr>
              <w:t>Önköltség-térítés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_Toc461010579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4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0" w:history="1">
            <w:r w:rsidR="008F16AB" w:rsidRPr="003064DF">
              <w:rPr>
                <w:rStyle w:val="Hiperhivatkozs"/>
                <w:noProof/>
              </w:rPr>
              <w:t>Átalány formájában kalkulált költségtípusok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_Toc461010580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5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1" w:history="1">
            <w:r w:rsidR="008F16AB" w:rsidRPr="003064DF">
              <w:rPr>
                <w:rStyle w:val="Hiperhivatkozs"/>
                <w:noProof/>
              </w:rPr>
              <w:t>Az idegen nyelvű képzés önköltsége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_Toc461010581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5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2" w:history="1">
            <w:r w:rsidR="008F16AB" w:rsidRPr="003064DF">
              <w:rPr>
                <w:rStyle w:val="Hiperhivatkozs"/>
                <w:noProof/>
              </w:rPr>
              <w:t>A hallgatói lakhatási támogatás havi összegének megemelése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_Toc461010582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5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3" w:history="1">
            <w:r w:rsidR="008F16AB" w:rsidRPr="003064DF">
              <w:rPr>
                <w:rStyle w:val="Hiperhivatkozs"/>
                <w:noProof/>
              </w:rPr>
              <w:t>A program finanszírozása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_Toc461010583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5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4" w:history="1">
            <w:r w:rsidR="008F16AB" w:rsidRPr="003064DF">
              <w:rPr>
                <w:rStyle w:val="Hiperhivatkozs"/>
                <w:noProof/>
              </w:rPr>
              <w:t>A program részletes szabályai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_Toc461010584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6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5" w:history="1">
            <w:r w:rsidR="008F16AB" w:rsidRPr="003064DF">
              <w:rPr>
                <w:rStyle w:val="Hiperhivatkozs"/>
                <w:noProof/>
              </w:rPr>
              <w:t>A program tervezett menetrendje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_Toc461010585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6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6" w:history="1">
            <w:r w:rsidR="008F16AB" w:rsidRPr="003064DF">
              <w:rPr>
                <w:rStyle w:val="Hiperhivatkozs"/>
                <w:noProof/>
              </w:rPr>
              <w:t>A rendelkezésre álló pályázati keret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_Toc461010586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6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7" w:history="1">
            <w:r w:rsidR="008F16AB" w:rsidRPr="003064DF">
              <w:rPr>
                <w:rStyle w:val="Hiperhivatkozs"/>
                <w:noProof/>
              </w:rPr>
              <w:t>Intézményi kiválasztási szempontok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_Toc461010587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6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8" w:history="1">
            <w:r w:rsidR="008F16AB" w:rsidRPr="003064DF">
              <w:rPr>
                <w:rStyle w:val="Hiperhivatkozs"/>
                <w:noProof/>
              </w:rPr>
              <w:t>Formai kritériumok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_Toc461010588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6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89" w:history="1">
            <w:r w:rsidR="008F16AB" w:rsidRPr="003064DF">
              <w:rPr>
                <w:rStyle w:val="Hiperhivatkozs"/>
                <w:noProof/>
              </w:rPr>
              <w:t>Speciális formai kritériumok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_Toc461010589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7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90" w:history="1">
            <w:r w:rsidR="008F16AB" w:rsidRPr="003064DF">
              <w:rPr>
                <w:rStyle w:val="Hiperhivatkozs"/>
                <w:noProof/>
              </w:rPr>
              <w:t>Tartalmi szempontok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_Toc461010590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7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91" w:history="1">
            <w:r w:rsidR="008F16AB" w:rsidRPr="003064DF">
              <w:rPr>
                <w:rStyle w:val="Hiperhivatkozs"/>
                <w:noProof/>
              </w:rPr>
              <w:t>Intézményi megállapodás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_Toc461010591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9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92" w:history="1">
            <w:r w:rsidR="008F16AB" w:rsidRPr="003064DF">
              <w:rPr>
                <w:rStyle w:val="Hiperhivatkozs"/>
                <w:noProof/>
              </w:rPr>
              <w:t>A pályázat benyújtása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_Toc461010592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9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93" w:history="1">
            <w:r w:rsidR="008F16AB" w:rsidRPr="003064DF">
              <w:rPr>
                <w:rStyle w:val="Hiperhivatkozs"/>
                <w:noProof/>
              </w:rPr>
              <w:t>Adatvédelem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_Toc461010593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9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8F16AB" w:rsidRDefault="00CC3DC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1010594" w:history="1">
            <w:r w:rsidR="008F16AB" w:rsidRPr="003064DF">
              <w:rPr>
                <w:rStyle w:val="Hiperhivatkozs"/>
                <w:noProof/>
              </w:rPr>
              <w:t>Mellékletek</w:t>
            </w:r>
            <w:r w:rsidR="008F16AB">
              <w:rPr>
                <w:noProof/>
                <w:webHidden/>
              </w:rPr>
              <w:tab/>
            </w:r>
            <w:r w:rsidR="008F16AB">
              <w:rPr>
                <w:noProof/>
                <w:webHidden/>
              </w:rPr>
              <w:fldChar w:fldCharType="begin"/>
            </w:r>
            <w:r w:rsidR="008F16AB">
              <w:rPr>
                <w:noProof/>
                <w:webHidden/>
              </w:rPr>
              <w:instrText xml:space="preserve"> PAGEREF _Toc461010594 \h </w:instrText>
            </w:r>
            <w:r w:rsidR="008F16AB">
              <w:rPr>
                <w:noProof/>
                <w:webHidden/>
              </w:rPr>
            </w:r>
            <w:r w:rsidR="008F16AB">
              <w:rPr>
                <w:noProof/>
                <w:webHidden/>
              </w:rPr>
              <w:fldChar w:fldCharType="separate"/>
            </w:r>
            <w:r w:rsidR="00D3286B">
              <w:rPr>
                <w:noProof/>
                <w:webHidden/>
              </w:rPr>
              <w:t>10</w:t>
            </w:r>
            <w:r w:rsidR="008F16AB">
              <w:rPr>
                <w:noProof/>
                <w:webHidden/>
              </w:rPr>
              <w:fldChar w:fldCharType="end"/>
            </w:r>
          </w:hyperlink>
        </w:p>
        <w:p w:rsidR="00E03637" w:rsidRDefault="00E03637">
          <w:r>
            <w:rPr>
              <w:b/>
              <w:bCs/>
            </w:rPr>
            <w:fldChar w:fldCharType="end"/>
          </w:r>
        </w:p>
      </w:sdtContent>
    </w:sdt>
    <w:p w:rsidR="00EF4C89" w:rsidRDefault="00EF4C89"/>
    <w:p w:rsidR="00EF4C89" w:rsidRDefault="00EF4C89">
      <w:r>
        <w:br w:type="page"/>
      </w:r>
    </w:p>
    <w:p w:rsidR="00EF4C89" w:rsidRPr="00065830" w:rsidRDefault="00EF4C89" w:rsidP="00E03637">
      <w:pPr>
        <w:pStyle w:val="Cmsor1"/>
      </w:pPr>
      <w:bookmarkStart w:id="0" w:name="_Toc461010573"/>
      <w:r w:rsidRPr="00065830">
        <w:lastRenderedPageBreak/>
        <w:t>Bevezetés</w:t>
      </w:r>
      <w:bookmarkEnd w:id="0"/>
    </w:p>
    <w:p w:rsidR="00575CC7" w:rsidRPr="00575CC7" w:rsidRDefault="00EF4C89" w:rsidP="005A4B73">
      <w:pPr>
        <w:jc w:val="both"/>
        <w:rPr>
          <w:b/>
          <w:bCs/>
        </w:rPr>
      </w:pPr>
      <w:r w:rsidRPr="00575CC7">
        <w:t xml:space="preserve">A Stipendium Hungaricum </w:t>
      </w:r>
      <w:r w:rsidR="002839B7" w:rsidRPr="00575CC7">
        <w:t>Magyarország</w:t>
      </w:r>
      <w:r w:rsidRPr="00575CC7">
        <w:t xml:space="preserve"> Kormány</w:t>
      </w:r>
      <w:r w:rsidR="002839B7" w:rsidRPr="00575CC7">
        <w:t>a</w:t>
      </w:r>
      <w:r w:rsidRPr="00575CC7">
        <w:t xml:space="preserve"> által</w:t>
      </w:r>
      <w:r w:rsidR="007712D4" w:rsidRPr="00575CC7">
        <w:t>,</w:t>
      </w:r>
      <w:r w:rsidRPr="00575CC7">
        <w:t xml:space="preserve"> </w:t>
      </w:r>
      <w:r w:rsidR="002839B7" w:rsidRPr="00575CC7">
        <w:t>a „</w:t>
      </w:r>
      <w:r w:rsidR="00B11CC1" w:rsidRPr="00575CC7">
        <w:t>k</w:t>
      </w:r>
      <w:r w:rsidR="00914996" w:rsidRPr="00575CC7">
        <w:t>eleti</w:t>
      </w:r>
      <w:r w:rsidR="00B11CC1" w:rsidRPr="00575CC7">
        <w:t xml:space="preserve"> és déli</w:t>
      </w:r>
      <w:r w:rsidR="00914996" w:rsidRPr="00575CC7">
        <w:t xml:space="preserve"> </w:t>
      </w:r>
      <w:r w:rsidR="00B11CC1" w:rsidRPr="00575CC7">
        <w:t>n</w:t>
      </w:r>
      <w:r w:rsidR="002839B7" w:rsidRPr="00575CC7">
        <w:t xml:space="preserve">yitás” külpolitikája jegyében </w:t>
      </w:r>
      <w:r w:rsidRPr="00575CC7">
        <w:t>alapított ösztöndíj</w:t>
      </w:r>
      <w:r w:rsidR="002839B7" w:rsidRPr="00575CC7">
        <w:t>program</w:t>
      </w:r>
      <w:r w:rsidR="003158A1" w:rsidRPr="00575CC7">
        <w:t xml:space="preserve">. A programot a </w:t>
      </w:r>
      <w:r w:rsidR="00C74511" w:rsidRPr="00575CC7">
        <w:t>285/2013. (VII. 26.) Kormányrendelet</w:t>
      </w:r>
      <w:r w:rsidR="00002145" w:rsidRPr="00575CC7">
        <w:t xml:space="preserve"> hívta életre</w:t>
      </w:r>
      <w:r w:rsidR="003158A1" w:rsidRPr="00575CC7">
        <w:t xml:space="preserve">. </w:t>
      </w:r>
    </w:p>
    <w:p w:rsidR="004D1964" w:rsidRPr="00065830" w:rsidRDefault="004D1964" w:rsidP="00E03637">
      <w:pPr>
        <w:pStyle w:val="Cmsor1"/>
      </w:pPr>
      <w:bookmarkStart w:id="1" w:name="_Toc461010574"/>
      <w:r w:rsidRPr="00065830">
        <w:t xml:space="preserve">A program </w:t>
      </w:r>
      <w:r w:rsidR="0050193F" w:rsidRPr="00065830">
        <w:t xml:space="preserve">átfogó </w:t>
      </w:r>
      <w:r w:rsidRPr="00065830">
        <w:t>céljai</w:t>
      </w:r>
      <w:bookmarkEnd w:id="1"/>
    </w:p>
    <w:p w:rsidR="007712D4" w:rsidRDefault="00A61CB1" w:rsidP="00A61CB1">
      <w:pPr>
        <w:jc w:val="both"/>
      </w:pPr>
      <w:r>
        <w:t>A Stipendium Hungaricum program</w:t>
      </w:r>
      <w:r w:rsidR="00EF4C89" w:rsidRPr="00EF4C89">
        <w:t xml:space="preserve"> </w:t>
      </w:r>
      <w:r>
        <w:t xml:space="preserve">oktatáspolitikai </w:t>
      </w:r>
      <w:r w:rsidR="00EF4C89" w:rsidRPr="00EF4C89">
        <w:t>célja</w:t>
      </w:r>
      <w:r w:rsidR="002839B7">
        <w:t xml:space="preserve">, hogy </w:t>
      </w:r>
      <w:r w:rsidR="007712D4">
        <w:t xml:space="preserve">az Európai Unió </w:t>
      </w:r>
      <w:r w:rsidR="003C0A72">
        <w:t xml:space="preserve">valamint </w:t>
      </w:r>
      <w:r w:rsidR="007712D4">
        <w:t xml:space="preserve">az Európai Felsőoktatási Térség irányelveivel összhangban </w:t>
      </w:r>
      <w:r w:rsidR="007712D4" w:rsidRPr="007712D4">
        <w:t>elősegítse a magyar felsőoktatá</w:t>
      </w:r>
      <w:r w:rsidR="007712D4">
        <w:t xml:space="preserve">s </w:t>
      </w:r>
      <w:proofErr w:type="spellStart"/>
      <w:r w:rsidR="007712D4">
        <w:t>nemzetközies</w:t>
      </w:r>
      <w:r w:rsidR="00A56B69">
        <w:t>edését</w:t>
      </w:r>
      <w:proofErr w:type="spellEnd"/>
      <w:r w:rsidR="007712D4">
        <w:t>,</w:t>
      </w:r>
      <w:r w:rsidR="00283F87">
        <w:t xml:space="preserve"> </w:t>
      </w:r>
      <w:r w:rsidR="00EE7DB3">
        <w:t xml:space="preserve">minőségfejlesztését, </w:t>
      </w:r>
      <w:r w:rsidR="00283F87">
        <w:t>erősítse</w:t>
      </w:r>
      <w:r>
        <w:t xml:space="preserve"> a magyar tudományos elit nemzetközi kapcsolatait,</w:t>
      </w:r>
      <w:r w:rsidR="007712D4">
        <w:t xml:space="preserve"> növelje a felsőoktatási</w:t>
      </w:r>
      <w:r w:rsidR="007712D4" w:rsidRPr="007712D4">
        <w:t xml:space="preserve"> intézménynek kulturális sokszínűségét és népszerűsítse a világban a ve</w:t>
      </w:r>
      <w:r w:rsidR="007712D4">
        <w:t xml:space="preserve">rsenyképes magyar felsőoktatást. </w:t>
      </w:r>
    </w:p>
    <w:p w:rsidR="00283F87" w:rsidRDefault="007712D4" w:rsidP="003A49F1">
      <w:pPr>
        <w:jc w:val="both"/>
      </w:pPr>
      <w:r w:rsidRPr="00FF3582">
        <w:t xml:space="preserve">A program </w:t>
      </w:r>
      <w:r w:rsidR="00283F87">
        <w:t xml:space="preserve">külpolitikai és </w:t>
      </w:r>
      <w:r w:rsidR="00A61CB1">
        <w:t xml:space="preserve">gazdasági </w:t>
      </w:r>
      <w:r w:rsidRPr="00FF3582">
        <w:t>célja, hogy</w:t>
      </w:r>
      <w:r w:rsidR="00B11CC1">
        <w:t xml:space="preserve"> megalapozza</w:t>
      </w:r>
      <w:r w:rsidRPr="00FF3582">
        <w:t xml:space="preserve"> a hazánkban végzett külföldi hallgatók </w:t>
      </w:r>
      <w:r w:rsidR="00914996">
        <w:t>személyes és szakmai kötődésé</w:t>
      </w:r>
      <w:r w:rsidR="00B11CC1">
        <w:t xml:space="preserve">t </w:t>
      </w:r>
      <w:r w:rsidRPr="00FF3582">
        <w:t xml:space="preserve">Magyarországhoz, potenciálisan elősegítve a magyar sajátosságok és érdekek hazájuk elitjének körében történő megismertetését/megértetését, megalapozva </w:t>
      </w:r>
      <w:proofErr w:type="gramStart"/>
      <w:r w:rsidRPr="00FF3582">
        <w:t>ezáltal</w:t>
      </w:r>
      <w:proofErr w:type="gramEnd"/>
      <w:r w:rsidRPr="00FF3582">
        <w:t xml:space="preserve"> az adott országban</w:t>
      </w:r>
      <w:r w:rsidR="00283F87">
        <w:t xml:space="preserve"> hazánk gazdasági kapcsolatai</w:t>
      </w:r>
      <w:r w:rsidRPr="00FF3582">
        <w:t xml:space="preserve"> fejlesztéséhez, piacra jutási törekvései támogatásához szükséges kapcsolati tőkét. </w:t>
      </w:r>
      <w:r w:rsidR="00283F87">
        <w:t>Nem elhanyagolható tényező, hogy a külföldi hallgatók</w:t>
      </w:r>
      <w:r w:rsidR="00283F87" w:rsidRPr="00FF3582">
        <w:t xml:space="preserve"> jelenléte az adott </w:t>
      </w:r>
      <w:r w:rsidR="00A56B69">
        <w:t xml:space="preserve">hazai </w:t>
      </w:r>
      <w:r w:rsidR="00283F87" w:rsidRPr="00FF3582">
        <w:t xml:space="preserve">város és régió gazdasági fejlődését </w:t>
      </w:r>
      <w:r w:rsidR="00283F87">
        <w:t xml:space="preserve">is pozitívan </w:t>
      </w:r>
      <w:r w:rsidR="003C0A72">
        <w:t>befolyásolja</w:t>
      </w:r>
      <w:r w:rsidR="00283F87" w:rsidRPr="00FF3582">
        <w:t>.</w:t>
      </w:r>
    </w:p>
    <w:p w:rsidR="007712D4" w:rsidRDefault="007712D4" w:rsidP="00A61CB1">
      <w:pPr>
        <w:jc w:val="both"/>
      </w:pPr>
      <w:r w:rsidRPr="00FF3582">
        <w:t>A program</w:t>
      </w:r>
      <w:r w:rsidR="00283F87">
        <w:t xml:space="preserve"> mindemellett</w:t>
      </w:r>
      <w:r w:rsidRPr="00FF3582">
        <w:t xml:space="preserve"> hozzájárul a magyar kultúra, a magyar nyelv </w:t>
      </w:r>
      <w:r w:rsidR="00914996">
        <w:t>népszerűsítéséhez</w:t>
      </w:r>
      <w:r w:rsidR="00914996" w:rsidRPr="00FF3582">
        <w:t xml:space="preserve"> </w:t>
      </w:r>
      <w:r w:rsidRPr="00FF3582">
        <w:t xml:space="preserve">is, mivel a hallgatók </w:t>
      </w:r>
      <w:r w:rsidR="00A61CB1">
        <w:t>egy</w:t>
      </w:r>
      <w:r w:rsidRPr="00FF3582">
        <w:t xml:space="preserve"> része egyéves előképzést követően magyar nyelven kezdi meg tanulmányait.</w:t>
      </w:r>
    </w:p>
    <w:p w:rsidR="007233AC" w:rsidRDefault="007233AC" w:rsidP="00A61CB1">
      <w:pPr>
        <w:jc w:val="both"/>
      </w:pPr>
      <w:r>
        <w:t>A program sikerét mutatja, hogy meghirdetése óta mind a résztvevő országok, mind pedig a pály</w:t>
      </w:r>
      <w:r w:rsidR="00A878BC">
        <w:t>á</w:t>
      </w:r>
      <w:r>
        <w:t xml:space="preserve">zatot benyújtó hallgatók száma </w:t>
      </w:r>
      <w:r w:rsidR="0041539A">
        <w:t>dinamikusan növekszik</w:t>
      </w:r>
      <w:r w:rsidRPr="00967ED7">
        <w:t xml:space="preserve">. </w:t>
      </w:r>
      <w:r w:rsidR="00CF3DDA" w:rsidRPr="00967ED7">
        <w:t>A</w:t>
      </w:r>
      <w:r w:rsidR="00A36F82" w:rsidRPr="00967ED7">
        <w:t xml:space="preserve"> program </w:t>
      </w:r>
      <w:r w:rsidR="00CF3DDA" w:rsidRPr="00967ED7">
        <w:t>jelenleg</w:t>
      </w:r>
      <w:r w:rsidR="00A36F82" w:rsidRPr="00967ED7">
        <w:t xml:space="preserve"> </w:t>
      </w:r>
      <w:r w:rsidR="00CF3DDA" w:rsidRPr="00967ED7">
        <w:t>51</w:t>
      </w:r>
      <w:r w:rsidR="00A36F82" w:rsidRPr="00967ED7">
        <w:t xml:space="preserve"> </w:t>
      </w:r>
      <w:r w:rsidR="00A878BC" w:rsidRPr="00967ED7">
        <w:t>partner</w:t>
      </w:r>
      <w:r w:rsidR="00A36F82" w:rsidRPr="00967ED7">
        <w:t>országgal</w:t>
      </w:r>
      <w:r w:rsidR="008D2B50" w:rsidRPr="00967ED7">
        <w:t>/területtel</w:t>
      </w:r>
      <w:r w:rsidR="00A36F82" w:rsidRPr="00967ED7">
        <w:t xml:space="preserve"> és kb. 4000 fő Stipendium Hungaricum ösztöndíjassal számol. Ezzel párhuzamosan természetesen felerősödnek azok a</w:t>
      </w:r>
      <w:r w:rsidR="00A878BC" w:rsidRPr="00967ED7">
        <w:t xml:space="preserve"> kormányzati</w:t>
      </w:r>
      <w:r w:rsidR="00A36F82" w:rsidRPr="00967ED7">
        <w:t xml:space="preserve"> </w:t>
      </w:r>
      <w:proofErr w:type="spellStart"/>
      <w:r w:rsidR="00A36F82" w:rsidRPr="00967ED7">
        <w:t>nemzetközies</w:t>
      </w:r>
      <w:r w:rsidR="00E80D67" w:rsidRPr="00967ED7">
        <w:t>edési</w:t>
      </w:r>
      <w:proofErr w:type="spellEnd"/>
      <w:r w:rsidR="00A36F82">
        <w:t xml:space="preserve"> törekvések is, amelyek célja, hogy a magyar felsőoktatás egyre felkészültebb és egyre vonzóbb legyen </w:t>
      </w:r>
      <w:r w:rsidR="00A878BC">
        <w:t xml:space="preserve">a </w:t>
      </w:r>
      <w:r w:rsidR="00A36F82">
        <w:t>külföldi hallgatók számára. Ennek érdekében az intézményi pályázatok értékelése során kiemelt</w:t>
      </w:r>
      <w:r w:rsidR="00967ED7">
        <w:t xml:space="preserve"> figyel</w:t>
      </w:r>
      <w:r w:rsidR="00CF3DDA">
        <w:t>met kap</w:t>
      </w:r>
      <w:r w:rsidR="00A878BC">
        <w:t xml:space="preserve"> a pályázó intézmény külföldi hallgató vonzó képessége, valamint a külföldi hallgatóknak nyújtott szolgáltatások minősége és mennyisége.</w:t>
      </w:r>
      <w:r w:rsidR="00A36F82">
        <w:t xml:space="preserve"> </w:t>
      </w:r>
    </w:p>
    <w:p w:rsidR="0050193F" w:rsidRPr="00065830" w:rsidRDefault="0050193F" w:rsidP="00E03637">
      <w:pPr>
        <w:pStyle w:val="Cmsor1"/>
      </w:pPr>
      <w:bookmarkStart w:id="2" w:name="_Toc461010575"/>
      <w:r w:rsidRPr="00065830">
        <w:t>A program felépítése</w:t>
      </w:r>
      <w:r w:rsidR="00B7707B">
        <w:t>, támogatható tevékenységek</w:t>
      </w:r>
      <w:bookmarkEnd w:id="2"/>
    </w:p>
    <w:p w:rsidR="005D6544" w:rsidRDefault="005D6544"/>
    <w:p w:rsidR="00850A3B" w:rsidRDefault="00283F87">
      <w:r>
        <w:t>A program</w:t>
      </w:r>
      <w:r w:rsidR="00EE7DB3">
        <w:t xml:space="preserve"> két részből áll</w:t>
      </w:r>
      <w:r w:rsidR="00850A3B">
        <w:t>:</w:t>
      </w:r>
    </w:p>
    <w:p w:rsidR="00850A3B" w:rsidRDefault="00002145" w:rsidP="00575CC7">
      <w:pPr>
        <w:pStyle w:val="Cmsor2"/>
        <w:numPr>
          <w:ilvl w:val="0"/>
          <w:numId w:val="10"/>
        </w:numPr>
      </w:pPr>
      <w:bookmarkStart w:id="3" w:name="_Toc461010576"/>
      <w:r>
        <w:t xml:space="preserve">Egyéni pályázatok: </w:t>
      </w:r>
      <w:r w:rsidR="00F65718">
        <w:t xml:space="preserve">Stipendium Hungaricum </w:t>
      </w:r>
      <w:r w:rsidR="00850A3B">
        <w:t>Ösztöndíjak</w:t>
      </w:r>
      <w:bookmarkEnd w:id="3"/>
    </w:p>
    <w:p w:rsidR="00450530" w:rsidRDefault="00802427" w:rsidP="0021261B">
      <w:pPr>
        <w:ind w:left="708"/>
        <w:jc w:val="both"/>
      </w:pPr>
      <w:r>
        <w:t>Magyarország és a partnerországok</w:t>
      </w:r>
      <w:r w:rsidR="008D2B50">
        <w:t>/területek</w:t>
      </w:r>
      <w:r>
        <w:t xml:space="preserve"> oktatásért felelős minisztériumai közötti nemzetközi</w:t>
      </w:r>
      <w:r w:rsidR="00850A3B">
        <w:t xml:space="preserve"> megállapodások alapján az egyes partnerországok</w:t>
      </w:r>
      <w:r w:rsidR="008D2B50">
        <w:t>/területek</w:t>
      </w:r>
      <w:r w:rsidR="00850A3B">
        <w:t xml:space="preserve"> meghatározott számú kvótára jelölhetnek leendő hallgatókat Stipendium Hungaricum ösztöndíjra. A hallgatók a megállapodás</w:t>
      </w:r>
      <w:r>
        <w:t xml:space="preserve">ban rögzített </w:t>
      </w:r>
      <w:r w:rsidR="00850A3B">
        <w:t>tudományterülete</w:t>
      </w:r>
      <w:r w:rsidR="00113B6C">
        <w:t>ke</w:t>
      </w:r>
      <w:r w:rsidR="00850A3B">
        <w:t xml:space="preserve">n, rész- vagy teljes képzésen vehetnek részt </w:t>
      </w:r>
    </w:p>
    <w:p w:rsidR="00450530" w:rsidRDefault="00850A3B" w:rsidP="005C61FB">
      <w:pPr>
        <w:pStyle w:val="Listaszerbekezds"/>
        <w:numPr>
          <w:ilvl w:val="0"/>
          <w:numId w:val="6"/>
        </w:numPr>
        <w:jc w:val="both"/>
      </w:pPr>
      <w:r>
        <w:t>alap-, mester- vagy doktori szinten</w:t>
      </w:r>
      <w:r w:rsidR="00450530">
        <w:t>,</w:t>
      </w:r>
    </w:p>
    <w:p w:rsidR="00646618" w:rsidRDefault="00450530" w:rsidP="005C61FB">
      <w:pPr>
        <w:pStyle w:val="Listaszerbekezds"/>
        <w:numPr>
          <w:ilvl w:val="0"/>
          <w:numId w:val="6"/>
        </w:numPr>
        <w:jc w:val="both"/>
      </w:pPr>
      <w:r>
        <w:t xml:space="preserve">magyar nyelvű </w:t>
      </w:r>
      <w:r w:rsidR="00C9192C">
        <w:t>felsőoktatási előkészítő tanulmányokon</w:t>
      </w:r>
      <w:r w:rsidR="00F65718">
        <w:t xml:space="preserve">, </w:t>
      </w:r>
    </w:p>
    <w:p w:rsidR="00DD2936" w:rsidRDefault="00DD2936" w:rsidP="00DD2936">
      <w:pPr>
        <w:pStyle w:val="Listaszerbekezds"/>
        <w:numPr>
          <w:ilvl w:val="0"/>
          <w:numId w:val="6"/>
        </w:numPr>
        <w:jc w:val="both"/>
      </w:pPr>
      <w:r>
        <w:t xml:space="preserve">zeneművészeti és műszaki képzés esetében az intézmény dönthet úgy, hogy a jelentkezőket az alap- és mesterképzéseket megelőző egy éves előkészítő képzésre </w:t>
      </w:r>
      <w:r>
        <w:lastRenderedPageBreak/>
        <w:t>veszi fel, zeneművészeti képzés esetében az alap- és mesterképzéseket követő specializációt nyújtó képzésen való részvételre is lehetőség van,</w:t>
      </w:r>
    </w:p>
    <w:p w:rsidR="00850A3B" w:rsidRDefault="00F65718" w:rsidP="005C61FB">
      <w:pPr>
        <w:ind w:left="709"/>
        <w:jc w:val="both"/>
      </w:pPr>
      <w:proofErr w:type="gramStart"/>
      <w:r>
        <w:t>ha</w:t>
      </w:r>
      <w:proofErr w:type="gramEnd"/>
      <w:r>
        <w:t xml:space="preserve"> felvételt nyernek az adott intézmény képzésére</w:t>
      </w:r>
      <w:r w:rsidR="00850A3B">
        <w:t>.</w:t>
      </w:r>
    </w:p>
    <w:p w:rsidR="009C7AF3" w:rsidRPr="009C7AF3" w:rsidRDefault="009C7AF3" w:rsidP="009C7AF3">
      <w:pPr>
        <w:spacing w:before="120"/>
        <w:ind w:left="709"/>
        <w:jc w:val="both"/>
      </w:pPr>
      <w:r w:rsidRPr="009C7AF3">
        <w:t>Az ösztöndíj a következő juttatásokat tartalmazza:</w:t>
      </w:r>
    </w:p>
    <w:p w:rsidR="009C7AF3" w:rsidRPr="00DD2936" w:rsidRDefault="009C7AF3" w:rsidP="009C7AF3">
      <w:pPr>
        <w:pStyle w:val="Listaszerbekezds"/>
        <w:numPr>
          <w:ilvl w:val="0"/>
          <w:numId w:val="5"/>
        </w:numPr>
        <w:spacing w:before="120" w:after="120" w:line="240" w:lineRule="auto"/>
        <w:ind w:left="993" w:hanging="284"/>
        <w:jc w:val="both"/>
        <w:rPr>
          <w:rFonts w:cs="Times New Roman"/>
          <w:smallCaps/>
        </w:rPr>
      </w:pPr>
      <w:r w:rsidRPr="009C7AF3">
        <w:rPr>
          <w:rFonts w:cs="Times New Roman"/>
          <w:color w:val="000000" w:themeColor="text1"/>
        </w:rPr>
        <w:t>térítésmentes vízum (A</w:t>
      </w:r>
      <w:r w:rsidRPr="009C7AF3">
        <w:rPr>
          <w:rFonts w:cs="Times New Roman"/>
          <w:bCs/>
          <w:color w:val="000000" w:themeColor="text1"/>
        </w:rPr>
        <w:t xml:space="preserve"> szabad mozgás és tartózkodás jogával rendelkező személyek, valamint a harmadik országbeli állampolgárok beutazásával és tartózkodásával kapcsolatos eljárások díjáról szóló </w:t>
      </w:r>
      <w:r w:rsidRPr="00DD2936">
        <w:rPr>
          <w:rFonts w:cs="Times New Roman"/>
          <w:color w:val="000000" w:themeColor="text1"/>
        </w:rPr>
        <w:t>28/2007. (V.31.) IRM rendelet 5. § (2) c) pontja értelmében mentesül az igazgatási szolgáltatási díj megfizetésének kötelezettsége alól az a szabad mozgás és tartózkodás jogával rendelkező személy vagy az a harmadik országbeli állampolgár, aki magyar állami ösztöndíj vagy az oktatásért felelős miniszter által biztosított rendszeres tanulmányi támogatás keretében folytatja tanulmányait Magyarországon.);</w:t>
      </w:r>
    </w:p>
    <w:p w:rsidR="009C7AF3" w:rsidRPr="00DD2936" w:rsidRDefault="009C7AF3" w:rsidP="009C7AF3">
      <w:pPr>
        <w:pStyle w:val="Listaszerbekezds"/>
        <w:numPr>
          <w:ilvl w:val="0"/>
          <w:numId w:val="5"/>
        </w:numPr>
        <w:spacing w:before="120" w:after="120" w:line="240" w:lineRule="auto"/>
        <w:ind w:left="993" w:hanging="284"/>
        <w:jc w:val="both"/>
        <w:rPr>
          <w:rFonts w:cs="Times New Roman"/>
          <w:smallCaps/>
        </w:rPr>
      </w:pPr>
      <w:r w:rsidRPr="00DD2936">
        <w:rPr>
          <w:rFonts w:cs="Times New Roman"/>
          <w:color w:val="000000"/>
        </w:rPr>
        <w:t>mentesség az oktatás önköltségének megtérítése alól;</w:t>
      </w:r>
    </w:p>
    <w:p w:rsidR="009C7AF3" w:rsidRPr="0084597C" w:rsidRDefault="009C7AF3" w:rsidP="005846EF">
      <w:pPr>
        <w:pStyle w:val="Listaszerbekezds"/>
        <w:numPr>
          <w:ilvl w:val="0"/>
          <w:numId w:val="5"/>
        </w:numPr>
        <w:spacing w:before="120" w:after="120" w:line="240" w:lineRule="auto"/>
        <w:ind w:left="993" w:hanging="284"/>
        <w:jc w:val="both"/>
        <w:rPr>
          <w:rFonts w:cs="Times New Roman"/>
          <w:smallCaps/>
        </w:rPr>
      </w:pPr>
      <w:r w:rsidRPr="00DD2936">
        <w:rPr>
          <w:rFonts w:cs="Times New Roman"/>
        </w:rPr>
        <w:t xml:space="preserve">a felsőoktatási intézmény </w:t>
      </w:r>
      <w:proofErr w:type="gramStart"/>
      <w:r w:rsidRPr="00DD2936">
        <w:rPr>
          <w:rFonts w:cs="Times New Roman"/>
        </w:rPr>
        <w:t>kapacitásának</w:t>
      </w:r>
      <w:proofErr w:type="gramEnd"/>
      <w:r w:rsidRPr="00DD2936">
        <w:rPr>
          <w:rFonts w:cs="Times New Roman"/>
        </w:rPr>
        <w:t xml:space="preserve"> függvényében kollégiumi férőhely vagy havi </w:t>
      </w:r>
      <w:r w:rsidR="00A878BC" w:rsidRPr="00DD2936">
        <w:rPr>
          <w:rFonts w:cs="Times New Roman"/>
        </w:rPr>
        <w:t xml:space="preserve">40 </w:t>
      </w:r>
      <w:r w:rsidRPr="00DD2936">
        <w:rPr>
          <w:rFonts w:cs="Times New Roman"/>
        </w:rPr>
        <w:t>ezer forint</w:t>
      </w:r>
      <w:r w:rsidR="00DD47EB" w:rsidRPr="00DD2936">
        <w:rPr>
          <w:rFonts w:cs="Times New Roman"/>
        </w:rPr>
        <w:t>/fő</w:t>
      </w:r>
      <w:r w:rsidR="00EC39FD">
        <w:rPr>
          <w:rFonts w:cs="Times New Roman"/>
        </w:rPr>
        <w:t xml:space="preserve"> lakhatási támogatás a</w:t>
      </w:r>
      <w:r w:rsidR="009236FD">
        <w:rPr>
          <w:rFonts w:cs="Times New Roman"/>
        </w:rPr>
        <w:t xml:space="preserve"> Magyarországon töltött hónapokra</w:t>
      </w:r>
      <w:r w:rsidR="00C157D0" w:rsidRPr="00DD2936">
        <w:rPr>
          <w:rFonts w:cs="Times New Roman"/>
        </w:rPr>
        <w:t xml:space="preserve"> (illetve az utolsó évben a</w:t>
      </w:r>
      <w:r w:rsidR="00C157D0" w:rsidRPr="00C157D0">
        <w:rPr>
          <w:rFonts w:cs="Times New Roman"/>
        </w:rPr>
        <w:t xml:space="preserve"> tanulmányok befejezéséig</w:t>
      </w:r>
      <w:r w:rsidR="00C157D0" w:rsidRPr="0084597C">
        <w:rPr>
          <w:rFonts w:cs="Times New Roman"/>
        </w:rPr>
        <w:t>, részképzés esetén a részképzés időtartama alatt)</w:t>
      </w:r>
      <w:r w:rsidRPr="0084597C">
        <w:rPr>
          <w:rFonts w:cs="Times New Roman"/>
        </w:rPr>
        <w:t>;</w:t>
      </w:r>
    </w:p>
    <w:p w:rsidR="009C7AF3" w:rsidRPr="009C7AF3" w:rsidRDefault="009C7AF3" w:rsidP="009C7AF3">
      <w:pPr>
        <w:pStyle w:val="Listaszerbekezds"/>
        <w:numPr>
          <w:ilvl w:val="0"/>
          <w:numId w:val="5"/>
        </w:numPr>
        <w:spacing w:before="120" w:after="120" w:line="240" w:lineRule="auto"/>
        <w:ind w:left="993" w:hanging="284"/>
        <w:jc w:val="both"/>
        <w:rPr>
          <w:rFonts w:cs="Times New Roman"/>
          <w:smallCaps/>
        </w:rPr>
      </w:pPr>
      <w:r w:rsidRPr="009C7AF3">
        <w:rPr>
          <w:rFonts w:cs="Times New Roman"/>
          <w:bCs/>
        </w:rPr>
        <w:t xml:space="preserve">a társadalombiztosítás ellátásaira és a magánnyugdíjra jogosultakról, valamint e szolgáltatások fedezetéről szóló 1997. évi LXXX. törvény 16. § (1) bekezdésének i) pontjában meghatározott egészségügyi szolgáltatás, illetve </w:t>
      </w:r>
      <w:r w:rsidRPr="009C7AF3">
        <w:rPr>
          <w:rFonts w:cs="Times New Roman"/>
          <w:color w:val="000000"/>
        </w:rPr>
        <w:t>idegen nyelvű egészségügyi szolgáltatás igénybevétele esetén a felmerült, igazolt költségek (pl. tolmácsolás) megtérítése vagy kiegészítő, idegen nyelvű ellátásra szóló egészségügyi biztosítás;</w:t>
      </w:r>
    </w:p>
    <w:p w:rsidR="009C7AF3" w:rsidRPr="00DD2936" w:rsidRDefault="009C7AF3" w:rsidP="009C7AF3">
      <w:pPr>
        <w:pStyle w:val="Listaszerbekezds"/>
        <w:numPr>
          <w:ilvl w:val="0"/>
          <w:numId w:val="5"/>
        </w:numPr>
        <w:spacing w:before="120" w:after="120" w:line="240" w:lineRule="auto"/>
        <w:ind w:left="993" w:hanging="284"/>
        <w:jc w:val="both"/>
        <w:rPr>
          <w:rFonts w:cs="Times New Roman"/>
          <w:smallCaps/>
        </w:rPr>
      </w:pPr>
      <w:r w:rsidRPr="009C7AF3">
        <w:rPr>
          <w:rFonts w:cs="Times New Roman"/>
        </w:rPr>
        <w:t>havi ösztöndíj a teljes naptári évre</w:t>
      </w:r>
      <w:r w:rsidR="00C157D0">
        <w:rPr>
          <w:rFonts w:cs="Times New Roman"/>
        </w:rPr>
        <w:t xml:space="preserve"> (</w:t>
      </w:r>
      <w:r w:rsidR="00C157D0" w:rsidRPr="00C157D0">
        <w:rPr>
          <w:rFonts w:cs="Times New Roman"/>
        </w:rPr>
        <w:t>illetve az utolsó év</w:t>
      </w:r>
      <w:r w:rsidR="00C157D0">
        <w:rPr>
          <w:rFonts w:cs="Times New Roman"/>
        </w:rPr>
        <w:t>ben a tanulmányok befejezéséig</w:t>
      </w:r>
      <w:r w:rsidR="00C157D0" w:rsidRPr="00C157D0">
        <w:rPr>
          <w:rFonts w:cs="Times New Roman"/>
        </w:rPr>
        <w:t>, részképzés</w:t>
      </w:r>
      <w:r w:rsidR="00C157D0">
        <w:rPr>
          <w:rFonts w:cs="Times New Roman"/>
        </w:rPr>
        <w:t xml:space="preserve"> esetén a részképzés időtartama alatt)</w:t>
      </w:r>
      <w:r w:rsidRPr="009C7AF3">
        <w:rPr>
          <w:rFonts w:cs="Times New Roman"/>
        </w:rPr>
        <w:t xml:space="preserve">, amelynek összegét a felsőoktatási intézmény utalja a hallgató részére. </w:t>
      </w:r>
      <w:r w:rsidR="004D0E47" w:rsidRPr="00DD2936">
        <w:t xml:space="preserve">A hallgatóknak fizetett ösztöndíj összege a mindenkori hallgatói normatíva összegéhez igazodik a hatályos jogszabályok, köztük a felsőoktatásban részt vevő hallgatók juttatásairól és az általuk fizetendő egyes térítésekről szóló 51/2007. (III. 26.) Korm. rendelet 26. § (1) bekezdése alapján. </w:t>
      </w:r>
      <w:r w:rsidRPr="00DD2936">
        <w:rPr>
          <w:rFonts w:cs="Times New Roman"/>
        </w:rPr>
        <w:t xml:space="preserve">Az ösztöndíj </w:t>
      </w:r>
      <w:r w:rsidR="004D0E47" w:rsidRPr="00DD2936">
        <w:rPr>
          <w:rFonts w:cs="Times New Roman"/>
        </w:rPr>
        <w:t xml:space="preserve">összege </w:t>
      </w:r>
      <w:r w:rsidR="00DD47EB" w:rsidRPr="00DD2936">
        <w:rPr>
          <w:rFonts w:cs="Times New Roman"/>
        </w:rPr>
        <w:t>a</w:t>
      </w:r>
      <w:r w:rsidR="00CF3DDA" w:rsidRPr="00DD2936">
        <w:rPr>
          <w:rFonts w:cs="Times New Roman"/>
        </w:rPr>
        <w:t xml:space="preserve"> jelenleg</w:t>
      </w:r>
      <w:r w:rsidR="00DD47EB" w:rsidRPr="00DD2936">
        <w:rPr>
          <w:rFonts w:cs="Times New Roman"/>
        </w:rPr>
        <w:t xml:space="preserve"> hatályos jogszabályok alapján </w:t>
      </w:r>
      <w:r w:rsidRPr="00DD2936">
        <w:rPr>
          <w:rFonts w:cs="Times New Roman"/>
        </w:rPr>
        <w:t>alap- és mesterképzésben havi 40 460 forint/fő, PhD hallgatók részére</w:t>
      </w:r>
      <w:r w:rsidR="00F43279" w:rsidRPr="00DD2936">
        <w:rPr>
          <w:rFonts w:cs="Times New Roman"/>
        </w:rPr>
        <w:t xml:space="preserve"> az első két évben/a képzés-kutatás időszakban</w:t>
      </w:r>
      <w:r w:rsidRPr="00DD2936">
        <w:rPr>
          <w:rFonts w:cs="Times New Roman"/>
        </w:rPr>
        <w:t xml:space="preserve"> havi </w:t>
      </w:r>
      <w:r w:rsidR="00F43279" w:rsidRPr="00DD2936">
        <w:rPr>
          <w:rFonts w:cs="Times New Roman"/>
        </w:rPr>
        <w:t xml:space="preserve">140 </w:t>
      </w:r>
      <w:r w:rsidRPr="00DD2936">
        <w:rPr>
          <w:rFonts w:cs="Times New Roman"/>
        </w:rPr>
        <w:t>000 forint/fő</w:t>
      </w:r>
      <w:r w:rsidR="00F43279" w:rsidRPr="00DD2936">
        <w:rPr>
          <w:rFonts w:cs="Times New Roman"/>
        </w:rPr>
        <w:t>, a második két évben/ciklusban/kutatás-disszertáció időszakban havi 180</w:t>
      </w:r>
      <w:r w:rsidR="00CF3DDA" w:rsidRPr="00DD2936">
        <w:rPr>
          <w:rFonts w:cs="Times New Roman"/>
        </w:rPr>
        <w:t xml:space="preserve"> 000</w:t>
      </w:r>
      <w:r w:rsidR="00F43279" w:rsidRPr="00DD2936">
        <w:rPr>
          <w:rFonts w:cs="Times New Roman"/>
        </w:rPr>
        <w:t xml:space="preserve"> forint/fő valamint sikeres védés esetén a doktorandusz egyszeri 400.000 Ft támogatásban részesül.</w:t>
      </w:r>
    </w:p>
    <w:p w:rsidR="00F53CA8" w:rsidRPr="009C7AF3" w:rsidRDefault="00F53CA8" w:rsidP="00DD47EB">
      <w:pPr>
        <w:pStyle w:val="Listaszerbekezds"/>
        <w:spacing w:before="120" w:after="120" w:line="240" w:lineRule="auto"/>
        <w:ind w:left="993"/>
        <w:jc w:val="both"/>
        <w:rPr>
          <w:rFonts w:cs="Times New Roman"/>
          <w:smallCaps/>
        </w:rPr>
      </w:pPr>
    </w:p>
    <w:p w:rsidR="00850A3B" w:rsidRDefault="00002145" w:rsidP="00575CC7">
      <w:pPr>
        <w:pStyle w:val="Cmsor2"/>
        <w:numPr>
          <w:ilvl w:val="0"/>
          <w:numId w:val="10"/>
        </w:numPr>
      </w:pPr>
      <w:bookmarkStart w:id="4" w:name="_Toc461010577"/>
      <w:r>
        <w:t xml:space="preserve">Intézményi pályázatok: </w:t>
      </w:r>
      <w:r w:rsidR="0021261B">
        <w:t>K</w:t>
      </w:r>
      <w:r w:rsidR="00850A3B">
        <w:t xml:space="preserve">épzések és </w:t>
      </w:r>
      <w:r w:rsidR="004E0689">
        <w:t>felsőoktatási</w:t>
      </w:r>
      <w:r w:rsidR="00850A3B">
        <w:t xml:space="preserve"> előkészítő</w:t>
      </w:r>
      <w:r w:rsidR="004E0689">
        <w:t xml:space="preserve"> tanulmányo</w:t>
      </w:r>
      <w:r w:rsidR="00850A3B">
        <w:t>k</w:t>
      </w:r>
      <w:bookmarkEnd w:id="4"/>
    </w:p>
    <w:p w:rsidR="00450530" w:rsidRDefault="00F65718" w:rsidP="0021261B">
      <w:pPr>
        <w:ind w:left="708"/>
        <w:jc w:val="both"/>
      </w:pPr>
      <w:r>
        <w:t xml:space="preserve">A Stipendium Hungaricum Ösztöndíjra jelentkező hallgatók csak </w:t>
      </w:r>
      <w:r w:rsidR="0021261B">
        <w:t>olyan</w:t>
      </w:r>
      <w:r w:rsidR="00877294">
        <w:t xml:space="preserve"> </w:t>
      </w:r>
    </w:p>
    <w:p w:rsidR="00450530" w:rsidRDefault="00877294" w:rsidP="005C61FB">
      <w:pPr>
        <w:pStyle w:val="Listaszerbekezds"/>
        <w:numPr>
          <w:ilvl w:val="0"/>
          <w:numId w:val="7"/>
        </w:numPr>
        <w:jc w:val="both"/>
      </w:pPr>
      <w:r>
        <w:t>alap-, mester- vagy doktori</w:t>
      </w:r>
      <w:r w:rsidR="00F65718">
        <w:t xml:space="preserve"> képzésekre</w:t>
      </w:r>
      <w:r w:rsidR="00450530">
        <w:t>,</w:t>
      </w:r>
    </w:p>
    <w:p w:rsidR="00646618" w:rsidRDefault="00450530" w:rsidP="005C61FB">
      <w:pPr>
        <w:pStyle w:val="Listaszerbekezds"/>
        <w:numPr>
          <w:ilvl w:val="0"/>
          <w:numId w:val="7"/>
        </w:numPr>
        <w:jc w:val="both"/>
      </w:pPr>
      <w:r>
        <w:t>magyar nyelvű</w:t>
      </w:r>
      <w:r w:rsidR="00F65718">
        <w:t xml:space="preserve"> </w:t>
      </w:r>
      <w:r w:rsidR="004E0689">
        <w:t>felsőoktatási előkészítő tanulmányokra</w:t>
      </w:r>
      <w:r w:rsidR="00F65718">
        <w:t xml:space="preserve"> </w:t>
      </w:r>
      <w:r w:rsidR="0021261B">
        <w:t>nyerhetnek felvételt</w:t>
      </w:r>
      <w:r w:rsidR="00646618">
        <w:t>,</w:t>
      </w:r>
    </w:p>
    <w:p w:rsidR="007712D4" w:rsidRDefault="0021261B" w:rsidP="005C61FB">
      <w:pPr>
        <w:ind w:left="709"/>
        <w:jc w:val="both"/>
      </w:pPr>
      <w:proofErr w:type="gramStart"/>
      <w:r>
        <w:t>amelyek</w:t>
      </w:r>
      <w:r w:rsidR="00C74511">
        <w:t>re</w:t>
      </w:r>
      <w:proofErr w:type="gramEnd"/>
      <w:r w:rsidR="00C74511">
        <w:t xml:space="preserve"> vonatkozóan a</w:t>
      </w:r>
      <w:r w:rsidR="00AF3020">
        <w:t xml:space="preserve"> Balassi Intézet jogutódja vagy</w:t>
      </w:r>
      <w:r w:rsidR="00C74511">
        <w:t xml:space="preserve"> felsőoktatási intézmények</w:t>
      </w:r>
      <w:r>
        <w:t xml:space="preserve"> sikeres pályázatot nyújtottak be Stipendium Hungaricum</w:t>
      </w:r>
      <w:r w:rsidR="00125915">
        <w:t xml:space="preserve"> ösztöndíjasok</w:t>
      </w:r>
      <w:r>
        <w:t xml:space="preserve"> fogadására.</w:t>
      </w:r>
    </w:p>
    <w:p w:rsidR="000A7B46" w:rsidRDefault="0041412F" w:rsidP="009C7AF3">
      <w:pPr>
        <w:ind w:left="709"/>
        <w:jc w:val="both"/>
      </w:pPr>
      <w:r w:rsidRPr="002F1359">
        <w:t xml:space="preserve">A Stipendium </w:t>
      </w:r>
      <w:r w:rsidR="00125915" w:rsidRPr="002F1359">
        <w:t>Hungaricum ösztöndíjasok</w:t>
      </w:r>
      <w:r w:rsidRPr="002F1359">
        <w:t xml:space="preserve"> fogadására sikeresen pályázó intézmények</w:t>
      </w:r>
      <w:r w:rsidR="00125915" w:rsidRPr="002F1359">
        <w:t xml:space="preserve"> képzésenként me</w:t>
      </w:r>
      <w:r w:rsidR="00194C90" w:rsidRPr="002F1359">
        <w:t xml:space="preserve">ghatározott </w:t>
      </w:r>
      <w:r w:rsidR="00B81344" w:rsidRPr="002F1359">
        <w:t>hallgatói kapacitással pályáznak</w:t>
      </w:r>
      <w:r w:rsidR="00194C90" w:rsidRPr="002F1359">
        <w:t xml:space="preserve">. A </w:t>
      </w:r>
      <w:r w:rsidR="00B81344" w:rsidRPr="002F1359">
        <w:t>kapacitás</w:t>
      </w:r>
      <w:r w:rsidR="00194C90" w:rsidRPr="002F1359">
        <w:t xml:space="preserve"> szerinti hallgatói allokációról </w:t>
      </w:r>
      <w:r w:rsidR="00125915" w:rsidRPr="002F1359">
        <w:t>a hallgatói jelentkezések</w:t>
      </w:r>
      <w:r w:rsidR="00194C90" w:rsidRPr="002F1359">
        <w:t>, a küldő partnerország</w:t>
      </w:r>
      <w:r w:rsidR="008D2B50" w:rsidRPr="002F1359">
        <w:t>/terület</w:t>
      </w:r>
      <w:r w:rsidR="00194C90" w:rsidRPr="002F1359">
        <w:t xml:space="preserve"> jelölési rangsora</w:t>
      </w:r>
      <w:r w:rsidR="00C74511" w:rsidRPr="002F1359">
        <w:t>,</w:t>
      </w:r>
      <w:r w:rsidR="00125915" w:rsidRPr="002F1359">
        <w:t xml:space="preserve"> </w:t>
      </w:r>
      <w:r w:rsidR="00194C90" w:rsidRPr="002F1359">
        <w:t>valamint</w:t>
      </w:r>
      <w:r w:rsidR="00125915" w:rsidRPr="002F1359">
        <w:t xml:space="preserve"> </w:t>
      </w:r>
      <w:r w:rsidR="00194C90" w:rsidRPr="002F1359">
        <w:t>az intézmény</w:t>
      </w:r>
      <w:r w:rsidR="00125915" w:rsidRPr="002F1359">
        <w:t xml:space="preserve"> felvételi </w:t>
      </w:r>
      <w:r w:rsidR="00194C90" w:rsidRPr="002F1359">
        <w:t>rangsora</w:t>
      </w:r>
      <w:r w:rsidR="00125915" w:rsidRPr="002F1359">
        <w:t xml:space="preserve"> </w:t>
      </w:r>
      <w:r w:rsidR="00194C90" w:rsidRPr="002F1359">
        <w:t>szerint, a hallgatói sokszínűség elvét figyelembe</w:t>
      </w:r>
      <w:r w:rsidR="00757F29" w:rsidRPr="002F1359">
        <w:t xml:space="preserve"> </w:t>
      </w:r>
      <w:r w:rsidR="00194C90" w:rsidRPr="002F1359">
        <w:t>véve, a Tempus Közalapítvány Kuratóriuma dönt.</w:t>
      </w:r>
    </w:p>
    <w:p w:rsidR="000A7B46" w:rsidRDefault="00757F29" w:rsidP="009C7AF3">
      <w:pPr>
        <w:ind w:left="709"/>
        <w:jc w:val="both"/>
      </w:pPr>
      <w:r>
        <w:lastRenderedPageBreak/>
        <w:t>A Stipendium Hungaricum ösztöndíjasok fogadására sikeresen pályázó intézmény</w:t>
      </w:r>
      <w:r w:rsidR="00215B21">
        <w:t xml:space="preserve"> főbb feladata</w:t>
      </w:r>
      <w:r w:rsidR="00F53CA8">
        <w:t>i</w:t>
      </w:r>
      <w:r>
        <w:t xml:space="preserve"> azon</w:t>
      </w:r>
      <w:r w:rsidR="00215B21">
        <w:t xml:space="preserve"> túl, hogy magas szintű oktatást biztosít az ösztöndíjasok számára</w:t>
      </w:r>
      <w:r w:rsidR="009F2B7A">
        <w:t>:</w:t>
      </w:r>
    </w:p>
    <w:p w:rsidR="00215B21" w:rsidRPr="00A10227" w:rsidRDefault="00215B21" w:rsidP="006A0AF5">
      <w:pPr>
        <w:pStyle w:val="Listaszerbekezds"/>
        <w:numPr>
          <w:ilvl w:val="0"/>
          <w:numId w:val="3"/>
        </w:numPr>
        <w:ind w:left="1134" w:hanging="425"/>
        <w:jc w:val="both"/>
      </w:pPr>
      <w:r w:rsidRPr="00A10227">
        <w:t>kapcsolatot tart a Tempus Közalapítvánnyal</w:t>
      </w:r>
      <w:r w:rsidR="00815352" w:rsidRPr="00A10227">
        <w:t xml:space="preserve">, rendszeresen tájékoztatást nyújt és beszámol a program </w:t>
      </w:r>
      <w:r w:rsidR="00542A91" w:rsidRPr="00A10227">
        <w:t xml:space="preserve">szakmai </w:t>
      </w:r>
      <w:r w:rsidR="00815352" w:rsidRPr="00A10227">
        <w:t>megvalósításáról</w:t>
      </w:r>
      <w:r w:rsidR="00BB603B" w:rsidRPr="00A10227">
        <w:t>, továbbá részletes pénzügyi elszámolást készít az EMMI számára</w:t>
      </w:r>
      <w:r w:rsidR="00B50B9F">
        <w:t>,</w:t>
      </w:r>
    </w:p>
    <w:p w:rsidR="006A2F47" w:rsidRPr="00AC063D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tájékoztatást nyújt a programról potenciális érdeklődőnek, a képzésekre vonatkozó információkat (pl. curriculum, tantárgyi leírások, tananyag) elérhetővé teszi az idegen nyelven indított képzés nyelvén az intézményi honlapon,</w:t>
      </w:r>
    </w:p>
    <w:p w:rsidR="006A2F47" w:rsidRPr="00AC063D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a megadott határidőig lefolytatja az ösztöndíjas felvételi eljárását, és kiállítja a felvételi határozatokat,</w:t>
      </w:r>
    </w:p>
    <w:p w:rsidR="006A2F47" w:rsidRPr="00AC063D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a Tempus Közalapítvány által biztosított mintaszerződést felhasználva ösztöndíjszerződést köt</w:t>
      </w:r>
      <w:r w:rsidR="00DE3364" w:rsidRPr="00AC063D">
        <w:t xml:space="preserve"> a hallgatókkal</w:t>
      </w:r>
      <w:r w:rsidRPr="00AC063D">
        <w:t>, szükség esetén módosítja azt; a szerződésnek megfelelően gondoskodik az ösztöndíjak kifizetéséről,</w:t>
      </w:r>
    </w:p>
    <w:p w:rsidR="00B50B9F" w:rsidRPr="00AC063D" w:rsidRDefault="00B50B9F" w:rsidP="00B50B9F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a hallgatókra vonatkozó szabályzatokat elérhetővé teszi az idegen nyelven indított képzés nyelvén,</w:t>
      </w:r>
    </w:p>
    <w:p w:rsidR="00DE3364" w:rsidRPr="00AC063D" w:rsidRDefault="00DE3364" w:rsidP="006A0AF5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 xml:space="preserve">folyamatos személyes és online alapú kapcsolattartási és </w:t>
      </w:r>
      <w:proofErr w:type="gramStart"/>
      <w:r w:rsidRPr="00AC063D">
        <w:t>konzultációs</w:t>
      </w:r>
      <w:proofErr w:type="gramEnd"/>
      <w:r w:rsidRPr="00AC063D">
        <w:t xml:space="preserve"> lehetőséget biztosít az ösztöndíjasok számára</w:t>
      </w:r>
      <w:r w:rsidR="00B50B9F" w:rsidRPr="00AC063D">
        <w:t>,</w:t>
      </w:r>
    </w:p>
    <w:p w:rsidR="00B50B9F" w:rsidRPr="00AC063D" w:rsidRDefault="00B50B9F" w:rsidP="006A0AF5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gondoskodik az ösztöndíjas beilleszkedését segítő mentorrendszer működéséről,</w:t>
      </w:r>
    </w:p>
    <w:p w:rsidR="00DE3364" w:rsidRPr="00AC063D" w:rsidRDefault="006A2F47" w:rsidP="00DE3364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segíti az ösztöndíjas társadalmi beilleszkedését, valamint támogatja az intézményi életébe való integrációját,</w:t>
      </w:r>
      <w:r w:rsidR="00DE3364" w:rsidRPr="00AC063D">
        <w:t xml:space="preserve"> interkulturális, a beilleszkedést segítő kiegészítő kurzusok/tréningek</w:t>
      </w:r>
      <w:r w:rsidR="004D0E47">
        <w:t>, magyar nyelvi kurzus</w:t>
      </w:r>
      <w:r w:rsidR="00DE3364" w:rsidRPr="00AC063D">
        <w:t>, orientációs rendezvények szervezésével</w:t>
      </w:r>
      <w:r w:rsidR="00B50B9F" w:rsidRPr="00AC063D">
        <w:t>; továbbá m</w:t>
      </w:r>
      <w:r w:rsidR="00DE3364" w:rsidRPr="00AC063D">
        <w:t>entálhigiénés tanácsadást nyújt és ma</w:t>
      </w:r>
      <w:r w:rsidR="00B50B9F" w:rsidRPr="00AC063D">
        <w:t>gyar nyelvi programokat is szervez</w:t>
      </w:r>
      <w:r w:rsidR="00DE3364" w:rsidRPr="00AC063D">
        <w:t xml:space="preserve"> a Stipendium Hungaricum ösztöndíjasok számára</w:t>
      </w:r>
      <w:r w:rsidR="00B50B9F" w:rsidRPr="00AC063D">
        <w:t>,</w:t>
      </w:r>
    </w:p>
    <w:p w:rsidR="006A2F47" w:rsidRPr="00AC063D" w:rsidRDefault="00B50B9F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 xml:space="preserve">segíti </w:t>
      </w:r>
      <w:r w:rsidR="006A2F47" w:rsidRPr="00AC063D">
        <w:t xml:space="preserve">az ösztöndíjas diákigazolvány igénylésével </w:t>
      </w:r>
      <w:r w:rsidRPr="00AC063D">
        <w:t>kapcsolatos ügyintézését</w:t>
      </w:r>
      <w:r w:rsidR="006A2F47" w:rsidRPr="00AC063D">
        <w:t>,</w:t>
      </w:r>
    </w:p>
    <w:p w:rsidR="006A2F47" w:rsidRPr="00AC063D" w:rsidRDefault="00B50B9F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 xml:space="preserve">segíti </w:t>
      </w:r>
      <w:r w:rsidR="006A2F47" w:rsidRPr="00AC063D">
        <w:t>az ösztöndíjas lakhatási ügyekkel, kollégiumi férőhelyekkel kapcsolatos ügyintézését,</w:t>
      </w:r>
    </w:p>
    <w:p w:rsidR="00B50B9F" w:rsidRPr="00AC063D" w:rsidRDefault="00B50B9F" w:rsidP="00B50B9F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 xml:space="preserve">a magyar hallgatókkal azonos hozzáférést biztosít a programban részt vevőknek a hallgatói szolgáltatásokhoz, például ingyenes könyvtárhasználat, számítógépes munkaállomások használata, valamint nyomtatási és </w:t>
      </w:r>
      <w:proofErr w:type="spellStart"/>
      <w:r w:rsidRPr="00AC063D">
        <w:t>szkennelési</w:t>
      </w:r>
      <w:proofErr w:type="spellEnd"/>
      <w:r w:rsidRPr="00AC063D">
        <w:t xml:space="preserve"> lehetőség igénybe vétele.</w:t>
      </w:r>
    </w:p>
    <w:p w:rsidR="006A2F47" w:rsidRPr="00AC063D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beutazás előtt és az ösztöndíjas időszak során teljes körű tájékoztatást ad az ösztöndíjasnak a tanulmányokkal, lakhatással, vízummal, társadalombiztosítással, diákigazolvánnyal, mentorrendszerrel kapcsolatos ügyekben és változásokban,</w:t>
      </w:r>
    </w:p>
    <w:p w:rsidR="006A2F47" w:rsidRPr="00AC063D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 xml:space="preserve">az ösztöndíjas időszak végén teljes körű tájékoztatást ad a Közalapítvány Stipendium Hungaricum </w:t>
      </w:r>
      <w:proofErr w:type="spellStart"/>
      <w:r w:rsidRPr="00AC063D">
        <w:t>alumni</w:t>
      </w:r>
      <w:proofErr w:type="spellEnd"/>
      <w:r w:rsidRPr="00AC063D">
        <w:t xml:space="preserve"> rendszerével kapcsolatban, valamint együttműködik a Közalapítvány által szervezett </w:t>
      </w:r>
      <w:proofErr w:type="spellStart"/>
      <w:r w:rsidRPr="00AC063D">
        <w:t>alumni</w:t>
      </w:r>
      <w:proofErr w:type="spellEnd"/>
      <w:r w:rsidRPr="00AC063D">
        <w:t xml:space="preserve"> tevékenységekben,</w:t>
      </w:r>
    </w:p>
    <w:p w:rsidR="006A2F47" w:rsidRDefault="006A2F47" w:rsidP="006A2F47">
      <w:pPr>
        <w:pStyle w:val="Listaszerbekezds"/>
        <w:numPr>
          <w:ilvl w:val="0"/>
          <w:numId w:val="3"/>
        </w:numPr>
        <w:ind w:left="1134" w:hanging="425"/>
        <w:jc w:val="both"/>
      </w:pPr>
      <w:r w:rsidRPr="00AC063D">
        <w:t>együttműködik a Közalapítvány által szervezett</w:t>
      </w:r>
      <w:r w:rsidRPr="006A0AF5">
        <w:t xml:space="preserve"> promóciós tevékenységekben.</w:t>
      </w:r>
    </w:p>
    <w:p w:rsidR="003B091E" w:rsidRDefault="005202E9" w:rsidP="00575CC7">
      <w:pPr>
        <w:pStyle w:val="Cmsor1"/>
      </w:pPr>
      <w:bookmarkStart w:id="5" w:name="_Toc461010578"/>
      <w:r w:rsidRPr="003152B5">
        <w:t>Az i</w:t>
      </w:r>
      <w:r w:rsidR="00472E78" w:rsidRPr="003152B5">
        <w:t xml:space="preserve">ntézményi </w:t>
      </w:r>
      <w:r w:rsidR="003B091E">
        <w:t>pályázat</w:t>
      </w:r>
      <w:r w:rsidR="008A6B40">
        <w:t xml:space="preserve">i </w:t>
      </w:r>
      <w:proofErr w:type="gramStart"/>
      <w:r w:rsidR="008A6B40">
        <w:t>konstrukció</w:t>
      </w:r>
      <w:proofErr w:type="gramEnd"/>
      <w:r w:rsidR="008A6B40">
        <w:t xml:space="preserve"> </w:t>
      </w:r>
      <w:r w:rsidR="003B091E">
        <w:t>egyes</w:t>
      </w:r>
      <w:r w:rsidR="008A6B40">
        <w:t xml:space="preserve"> lényeges</w:t>
      </w:r>
      <w:r w:rsidR="003B091E">
        <w:t xml:space="preserve"> kérdései</w:t>
      </w:r>
      <w:bookmarkEnd w:id="5"/>
    </w:p>
    <w:p w:rsidR="00472E78" w:rsidRPr="00EA666D" w:rsidRDefault="00472E78" w:rsidP="00575CC7">
      <w:pPr>
        <w:pStyle w:val="Cmsor2"/>
      </w:pPr>
      <w:bookmarkStart w:id="6" w:name="_Toc461010579"/>
      <w:r w:rsidRPr="003152B5">
        <w:t>Ö</w:t>
      </w:r>
      <w:r w:rsidRPr="00EA666D">
        <w:t>nköltség-térítés</w:t>
      </w:r>
      <w:bookmarkEnd w:id="6"/>
    </w:p>
    <w:p w:rsidR="00B927E5" w:rsidRDefault="00472E78" w:rsidP="00E03637">
      <w:pPr>
        <w:jc w:val="both"/>
      </w:pPr>
      <w:r>
        <w:t xml:space="preserve">A </w:t>
      </w:r>
      <w:r w:rsidR="00B927E5">
        <w:t>Stipendium Hungaricum ösztöndíjasok fogadására sikeresen pályázó intézmény</w:t>
      </w:r>
      <w:r w:rsidR="00F36215">
        <w:t>ek</w:t>
      </w:r>
      <w:r w:rsidR="00B927E5">
        <w:t xml:space="preserve"> a</w:t>
      </w:r>
      <w:r w:rsidR="004C7C2B">
        <w:t xml:space="preserve"> fogadott</w:t>
      </w:r>
      <w:r w:rsidR="00B927E5">
        <w:t xml:space="preserve"> ösztöndíjasok után </w:t>
      </w:r>
      <w:r w:rsidR="00B927E5" w:rsidRPr="00472E78">
        <w:t>önköltség</w:t>
      </w:r>
      <w:r w:rsidR="004C7C2B" w:rsidRPr="00472E78">
        <w:t>-térítés</w:t>
      </w:r>
      <w:r w:rsidR="00B927E5" w:rsidRPr="00472E78">
        <w:t>ben</w:t>
      </w:r>
      <w:r w:rsidR="00B927E5">
        <w:t xml:space="preserve"> részesülnek. Egy-egy képzés önköltségét az intézmény a </w:t>
      </w:r>
      <w:r w:rsidR="00B927E5">
        <w:lastRenderedPageBreak/>
        <w:t>képzési pályázatban</w:t>
      </w:r>
      <w:r w:rsidR="0004624B">
        <w:t xml:space="preserve"> </w:t>
      </w:r>
      <w:r w:rsidR="002312D1">
        <w:t>adja meg</w:t>
      </w:r>
      <w:r w:rsidR="00B927E5">
        <w:t>.</w:t>
      </w:r>
      <w:r w:rsidR="00F53CA8">
        <w:t xml:space="preserve"> </w:t>
      </w:r>
      <w:r w:rsidR="00646618">
        <w:t>A</w:t>
      </w:r>
      <w:r w:rsidR="00F53CA8">
        <w:t xml:space="preserve"> képzés megadott önköltsége </w:t>
      </w:r>
      <w:r w:rsidR="002176E0">
        <w:t>a képzés</w:t>
      </w:r>
      <w:r w:rsidR="0050681C">
        <w:t xml:space="preserve"> </w:t>
      </w:r>
      <w:r w:rsidR="002176E0">
        <w:t>költségé</w:t>
      </w:r>
      <w:r w:rsidR="0050681C">
        <w:t xml:space="preserve">n </w:t>
      </w:r>
      <w:r w:rsidR="002176E0">
        <w:t>t</w:t>
      </w:r>
      <w:r w:rsidR="0050681C">
        <w:t>úl tartalmazza a szervezésre biztosított átalány összeget is. A</w:t>
      </w:r>
      <w:r w:rsidR="00F53CA8">
        <w:t xml:space="preserve">z önköltség-térítés </w:t>
      </w:r>
      <w:r w:rsidR="0050681C">
        <w:t xml:space="preserve">a pályázatban megadott adatok </w:t>
      </w:r>
      <w:r w:rsidR="00F53CA8">
        <w:t xml:space="preserve">alapján kerül megállapításra, annak utólagos </w:t>
      </w:r>
      <w:r w:rsidR="002C1A55">
        <w:t xml:space="preserve">módosítására </w:t>
      </w:r>
      <w:r w:rsidR="00F53CA8">
        <w:t xml:space="preserve">nincs mód. </w:t>
      </w:r>
    </w:p>
    <w:p w:rsidR="00C745EB" w:rsidRDefault="00C745EB" w:rsidP="00575CC7">
      <w:pPr>
        <w:pStyle w:val="Cmsor3"/>
      </w:pPr>
      <w:bookmarkStart w:id="7" w:name="_Toc461010580"/>
      <w:r>
        <w:t>Átalány formájában kalkulált költségtípusok</w:t>
      </w:r>
      <w:bookmarkEnd w:id="7"/>
    </w:p>
    <w:p w:rsidR="00472E78" w:rsidRDefault="00472E78" w:rsidP="00575CC7">
      <w:pPr>
        <w:jc w:val="both"/>
      </w:pPr>
      <w:r>
        <w:t>Az önköltség számítás során jól elkülöníthetőnek kell lenni</w:t>
      </w:r>
      <w:r w:rsidR="001E6CB1">
        <w:t>ük</w:t>
      </w:r>
      <w:r>
        <w:t xml:space="preserve"> a program működéséhez szükséges költség</w:t>
      </w:r>
      <w:r w:rsidR="00511A92">
        <w:t>típusoknak</w:t>
      </w:r>
      <w:r>
        <w:t xml:space="preserve">. </w:t>
      </w:r>
      <w:r w:rsidR="001E6CB1">
        <w:t xml:space="preserve">A program működéséhez </w:t>
      </w:r>
      <w:r w:rsidR="001E6CB1" w:rsidRPr="00364F7A">
        <w:t xml:space="preserve">szükséges </w:t>
      </w:r>
      <w:r w:rsidR="001E6CB1" w:rsidRPr="00364F7A">
        <w:rPr>
          <w:b/>
        </w:rPr>
        <w:t>szervezési átalány költség</w:t>
      </w:r>
      <w:r w:rsidR="00364F7A" w:rsidRPr="00364F7A">
        <w:rPr>
          <w:b/>
        </w:rPr>
        <w:t xml:space="preserve"> összege 1</w:t>
      </w:r>
      <w:r w:rsidR="00A97718">
        <w:rPr>
          <w:b/>
        </w:rPr>
        <w:t>5</w:t>
      </w:r>
      <w:r w:rsidR="00364F7A" w:rsidRPr="00364F7A">
        <w:rPr>
          <w:b/>
        </w:rPr>
        <w:t>0 000 Ft/fő/év</w:t>
      </w:r>
      <w:r w:rsidR="00364F7A" w:rsidRPr="00364F7A">
        <w:t xml:space="preserve">. </w:t>
      </w:r>
      <w:r w:rsidR="00511A92">
        <w:t xml:space="preserve">A szervezési átalányköltség fedezi </w:t>
      </w:r>
      <w:r w:rsidR="00F860E5">
        <w:t xml:space="preserve">a jelentkezők felvételi eljárásának költségeit, a </w:t>
      </w:r>
      <w:r>
        <w:t>hall</w:t>
      </w:r>
      <w:r w:rsidR="00511A92">
        <w:t>gatói szolgáltatások fejlesztését</w:t>
      </w:r>
      <w:r>
        <w:t xml:space="preserve"> (különösen mentorrends</w:t>
      </w:r>
      <w:r w:rsidR="00C745EB">
        <w:t>zer),</w:t>
      </w:r>
      <w:r w:rsidR="00B84452">
        <w:t xml:space="preserve"> orientációs és interkulturális programok biztosítását,</w:t>
      </w:r>
      <w:r w:rsidR="00C745EB">
        <w:t xml:space="preserve"> </w:t>
      </w:r>
      <w:proofErr w:type="spellStart"/>
      <w:r w:rsidR="00C745EB">
        <w:t>alumni</w:t>
      </w:r>
      <w:proofErr w:type="spellEnd"/>
      <w:r w:rsidR="00C745EB">
        <w:t xml:space="preserve"> hálózat kialakítását</w:t>
      </w:r>
      <w:r>
        <w:t>, promóció</w:t>
      </w:r>
      <w:r w:rsidR="00C745EB">
        <w:t>t</w:t>
      </w:r>
      <w:r>
        <w:t>, megfelelő humán erőforrás biztosítás</w:t>
      </w:r>
      <w:r w:rsidR="00C745EB">
        <w:t xml:space="preserve">át, </w:t>
      </w:r>
      <w:r>
        <w:t>kiegészítő nyelvórák</w:t>
      </w:r>
      <w:r w:rsidR="00C745EB">
        <w:t>at</w:t>
      </w:r>
      <w:r w:rsidR="00F23208">
        <w:t>, indokolt esetb</w:t>
      </w:r>
      <w:r w:rsidR="00E36FA0">
        <w:t>en a rep</w:t>
      </w:r>
      <w:r w:rsidR="00F23208">
        <w:t>ülőtér és az egyetemi kampusz közötti transzfer</w:t>
      </w:r>
      <w:r w:rsidR="00E36FA0">
        <w:t>t</w:t>
      </w:r>
      <w:r w:rsidR="00F23208">
        <w:t xml:space="preserve"> a hallgató érkezésekor</w:t>
      </w:r>
      <w:r w:rsidR="00C745EB">
        <w:t xml:space="preserve">. </w:t>
      </w:r>
      <w:r>
        <w:t xml:space="preserve">A támogatás </w:t>
      </w:r>
      <w:proofErr w:type="gramStart"/>
      <w:r>
        <w:t>ezen</w:t>
      </w:r>
      <w:proofErr w:type="gramEnd"/>
      <w:r>
        <w:t xml:space="preserve"> részét az intézmény kizárólag a program működtetésére fordít</w:t>
      </w:r>
      <w:r w:rsidR="00C745EB">
        <w:t>hatja és</w:t>
      </w:r>
      <w:r>
        <w:t xml:space="preserve"> a </w:t>
      </w:r>
      <w:r w:rsidR="00C745EB">
        <w:t xml:space="preserve">vonatkozó </w:t>
      </w:r>
      <w:r>
        <w:t>tevékenységekről tartalmi beszámolót készít.</w:t>
      </w:r>
    </w:p>
    <w:p w:rsidR="00472E78" w:rsidRPr="00575CC7" w:rsidRDefault="00472E78" w:rsidP="00575CC7">
      <w:pPr>
        <w:pStyle w:val="Cmsor3"/>
      </w:pPr>
      <w:bookmarkStart w:id="8" w:name="_Toc461010581"/>
      <w:r w:rsidRPr="00793612">
        <w:t>Az idegen nyelvű képzés önköltség</w:t>
      </w:r>
      <w:r w:rsidR="00C745EB" w:rsidRPr="00793612">
        <w:t>e</w:t>
      </w:r>
      <w:bookmarkEnd w:id="8"/>
    </w:p>
    <w:p w:rsidR="00472E78" w:rsidRDefault="00472E78" w:rsidP="00575CC7">
      <w:pPr>
        <w:jc w:val="both"/>
      </w:pPr>
      <w:r w:rsidRPr="00483EB6">
        <w:t xml:space="preserve">Az intézményi és képzési bírálat eredményétől függően </w:t>
      </w:r>
      <w:r w:rsidR="005202E9" w:rsidRPr="00483EB6">
        <w:t xml:space="preserve">kerülhet jóváhagyásra vagy csökkentésre </w:t>
      </w:r>
      <w:r w:rsidRPr="00483EB6">
        <w:t>az intézmények által megadott önköltség.</w:t>
      </w:r>
      <w:r w:rsidR="003B091E">
        <w:t xml:space="preserve">  </w:t>
      </w:r>
      <w:r w:rsidR="00297F0E">
        <w:t xml:space="preserve">Az önköltség mértékének jóváhagyásáról vagy csökkentéséről a Tempus Közalapítvány kuratóriuma dönt. </w:t>
      </w:r>
    </w:p>
    <w:p w:rsidR="00472E78" w:rsidRPr="00575CC7" w:rsidRDefault="00472E78" w:rsidP="00575CC7">
      <w:pPr>
        <w:pStyle w:val="Cmsor3"/>
      </w:pPr>
      <w:bookmarkStart w:id="9" w:name="_Toc461010582"/>
      <w:r w:rsidRPr="00575CC7">
        <w:t>A hallgatói lakhatási támogatás havi összegének megemelése</w:t>
      </w:r>
      <w:bookmarkEnd w:id="9"/>
    </w:p>
    <w:p w:rsidR="00472E78" w:rsidRDefault="003B091E" w:rsidP="00575CC7">
      <w:pPr>
        <w:jc w:val="both"/>
      </w:pPr>
      <w:r>
        <w:t>A</w:t>
      </w:r>
      <w:r w:rsidR="00472E78">
        <w:t xml:space="preserve"> hallgatók </w:t>
      </w:r>
      <w:r w:rsidR="00EA1D35">
        <w:t>lakhatási támogatása</w:t>
      </w:r>
      <w:r w:rsidR="00472E78">
        <w:t xml:space="preserve"> </w:t>
      </w:r>
      <w:r w:rsidR="00A97718">
        <w:t>a</w:t>
      </w:r>
      <w:r w:rsidR="00472E78">
        <w:t xml:space="preserve"> </w:t>
      </w:r>
      <w:r w:rsidR="00EA1D35">
        <w:t xml:space="preserve">2017-18-as tanévtől </w:t>
      </w:r>
      <w:r w:rsidRPr="00483EB6">
        <w:rPr>
          <w:b/>
        </w:rPr>
        <w:t>40 000 Ft/hó támogatásra emelkedik</w:t>
      </w:r>
      <w:r>
        <w:t>.</w:t>
      </w:r>
    </w:p>
    <w:p w:rsidR="00821BAA" w:rsidRDefault="00821BAA" w:rsidP="00821BAA">
      <w:pPr>
        <w:pStyle w:val="Cmsor3"/>
      </w:pPr>
      <w:bookmarkStart w:id="10" w:name="_Toc461010583"/>
      <w:r>
        <w:t>A program finanszírozása</w:t>
      </w:r>
      <w:bookmarkEnd w:id="10"/>
    </w:p>
    <w:p w:rsidR="00821BAA" w:rsidRDefault="00821BAA" w:rsidP="003C3EBE">
      <w:pPr>
        <w:jc w:val="both"/>
      </w:pPr>
      <w:r>
        <w:t xml:space="preserve">A </w:t>
      </w:r>
      <w:r w:rsidRPr="00821BAA">
        <w:t xml:space="preserve">Tempus Közalapítvány Kuratóriuma </w:t>
      </w:r>
      <w:r>
        <w:t>által elfogadott pályázatokban szereplő költségelemeket az Emberi Erőforrások Minisztériuma által folyósított</w:t>
      </w:r>
      <w:r w:rsidR="00FA42DF">
        <w:t>, a Külgazdasági és Külügyminisztérium költségvetésében,  „</w:t>
      </w:r>
      <w:proofErr w:type="gramStart"/>
      <w:r w:rsidR="00FA42DF" w:rsidRPr="00FA42DF">
        <w:t>A</w:t>
      </w:r>
      <w:proofErr w:type="gramEnd"/>
      <w:r w:rsidR="00FA42DF" w:rsidRPr="00FA42DF">
        <w:t xml:space="preserve"> Stipendium Hungaricum ösztöndíjak és ösztöndíjprogram működtetése” fejezeti kezelésű előirányzat</w:t>
      </w:r>
      <w:r w:rsidR="00C37EC4">
        <w:t>on</w:t>
      </w:r>
      <w:r w:rsidR="00FA42DF">
        <w:t xml:space="preserve"> biztosított</w:t>
      </w:r>
      <w:r>
        <w:t xml:space="preserve"> támogatás fedezi az intézmények számára, állami fenntartású intézmények esetében </w:t>
      </w:r>
      <w:r w:rsidR="00900424">
        <w:t>irányító szervi</w:t>
      </w:r>
      <w:r>
        <w:t xml:space="preserve"> előirányzat-</w:t>
      </w:r>
      <w:r w:rsidR="00900424">
        <w:t>módosítás</w:t>
      </w:r>
      <w:r>
        <w:t xml:space="preserve">, nem állami fenntartású intézmények esetében támogatási szerződés formájában. A támogatás pontos összege az intézménybe beiratkozott és tanulmányaikat ténylegesen megkezdett ösztöndíjasok létszáma alapján kerül kiszámításra. Az ösztöndíjasok létszámát a Tempus Közalapítvány minden szemeszter </w:t>
      </w:r>
      <w:r w:rsidR="00987612">
        <w:t>15</w:t>
      </w:r>
      <w:r>
        <w:t>. napjáig egyezteti az intézményekkel és az adatokat továbbítja az Emberi Erőforrások Minisztériumának</w:t>
      </w:r>
      <w:r w:rsidR="00987612">
        <w:t>, amely az adatszolgáltatás alapján elkészíti az adott szemeszterre vonatkozó költségvetést</w:t>
      </w:r>
      <w:r>
        <w:t>.</w:t>
      </w:r>
      <w:r w:rsidR="005377CE">
        <w:t xml:space="preserve"> Az Emberi Erőforrások Minisztériuma a támogatást állami fenntartású intézmények esetében évente két alkalommal (szemeszterenként egyszer)</w:t>
      </w:r>
      <w:r w:rsidR="00FA42DF">
        <w:t xml:space="preserve"> végrehajtott </w:t>
      </w:r>
      <w:r w:rsidR="00900424">
        <w:t>irányító szervi</w:t>
      </w:r>
      <w:r w:rsidR="001602A1">
        <w:t xml:space="preserve"> </w:t>
      </w:r>
      <w:r w:rsidR="00FA42DF">
        <w:t>előirányzat-</w:t>
      </w:r>
      <w:r w:rsidR="00900424">
        <w:t>módosítás</w:t>
      </w:r>
      <w:r w:rsidR="005377CE">
        <w:t>, nem állami fenntartású intézmények esetébe</w:t>
      </w:r>
      <w:r w:rsidR="00FA42DF">
        <w:t>n</w:t>
      </w:r>
      <w:r w:rsidR="005377CE">
        <w:t xml:space="preserve"> évente egyszer, támogatási szerződés keretein belül bocsátja az intézmények rendelkezésre. A támogatással kapcsolatban a </w:t>
      </w:r>
      <w:r w:rsidR="00900424">
        <w:t>kedvezményezetteket</w:t>
      </w:r>
      <w:r w:rsidR="005377CE">
        <w:t xml:space="preserve"> elszámolási, a fel nem használt rész tekintetében visszatérítési kötelezettség terheli. Az állami fenntartású intézmények a rákövetkező szemeszter 30. napjáig megküldik a pénzügyi beszámolót az Emberi Erőfor</w:t>
      </w:r>
      <w:r w:rsidR="00987612">
        <w:t>rások Minisztériuma Bilaterális Kapcsolatokért Felelős Főosztályának</w:t>
      </w:r>
      <w:r w:rsidR="005377CE">
        <w:t xml:space="preserve">, a nem állami fenntartású intézmények elszámolásának </w:t>
      </w:r>
      <w:r w:rsidR="00900424">
        <w:t>rendjét</w:t>
      </w:r>
      <w:r w:rsidR="005377CE">
        <w:t xml:space="preserve"> a támogatási szerződés tartalmazza. A </w:t>
      </w:r>
      <w:r w:rsidR="00900424">
        <w:t xml:space="preserve">kedvezményezettek </w:t>
      </w:r>
      <w:r w:rsidR="005377CE">
        <w:t xml:space="preserve">részére </w:t>
      </w:r>
      <w:r w:rsidR="00987612">
        <w:t>további</w:t>
      </w:r>
      <w:r w:rsidR="005377CE">
        <w:t xml:space="preserve"> támogatás nem folyósítható, amíg a megelőző szemeszterről készült, az intézmény vezetése által jóváhagyott</w:t>
      </w:r>
      <w:r w:rsidR="001602A1">
        <w:t>, mellékelt minta szerinti</w:t>
      </w:r>
      <w:r w:rsidR="005377CE">
        <w:t xml:space="preserve"> pénzügyi beszámolót az Emberi Erőforrások Minisztériuma</w:t>
      </w:r>
      <w:r w:rsidR="00987612">
        <w:t xml:space="preserve"> </w:t>
      </w:r>
      <w:r w:rsidR="00987612" w:rsidRPr="00987612">
        <w:t>Bilaterális Kapc</w:t>
      </w:r>
      <w:r w:rsidR="00987612">
        <w:t>solatokért Felelős Főosztálya</w:t>
      </w:r>
      <w:r w:rsidR="005377CE">
        <w:t xml:space="preserve"> nem kapta meg és nem hagyta jóvá.   </w:t>
      </w:r>
    </w:p>
    <w:p w:rsidR="003B091E" w:rsidRDefault="003B091E" w:rsidP="00575CC7">
      <w:pPr>
        <w:pStyle w:val="Cmsor3"/>
      </w:pPr>
      <w:bookmarkStart w:id="11" w:name="_Toc461010584"/>
      <w:r>
        <w:lastRenderedPageBreak/>
        <w:t>A program részletes szabályai</w:t>
      </w:r>
      <w:bookmarkEnd w:id="11"/>
    </w:p>
    <w:p w:rsidR="009C4B01" w:rsidRDefault="009C4B01" w:rsidP="009C4B01">
      <w:pPr>
        <w:jc w:val="both"/>
      </w:pPr>
      <w:r w:rsidRPr="00543E2E">
        <w:t xml:space="preserve">A Stipendium Hungaricum program részletes </w:t>
      </w:r>
      <w:r w:rsidR="00FE06C0" w:rsidRPr="00543E2E">
        <w:t xml:space="preserve">működési </w:t>
      </w:r>
      <w:r w:rsidRPr="00543E2E">
        <w:t>szabály</w:t>
      </w:r>
      <w:r w:rsidR="00033910" w:rsidRPr="00543E2E">
        <w:t>zat</w:t>
      </w:r>
      <w:r w:rsidR="008A6B40" w:rsidRPr="00543E2E">
        <w:t>a</w:t>
      </w:r>
      <w:r w:rsidR="00033910" w:rsidRPr="00543E2E">
        <w:t xml:space="preserve"> </w:t>
      </w:r>
      <w:r w:rsidRPr="00543E2E">
        <w:t>a Tempus Közalapítvány honlapján</w:t>
      </w:r>
      <w:r w:rsidR="00033910" w:rsidRPr="00543E2E">
        <w:t xml:space="preserve"> elérhető</w:t>
      </w:r>
      <w:r w:rsidR="001A5D94" w:rsidRPr="00543E2E">
        <w:t xml:space="preserve"> magyar</w:t>
      </w:r>
      <w:r w:rsidR="00033910" w:rsidRPr="00543E2E">
        <w:t xml:space="preserve"> </w:t>
      </w:r>
      <w:r w:rsidR="001A5D94" w:rsidRPr="00543E2E">
        <w:t>(</w:t>
      </w:r>
      <w:hyperlink r:id="rId11" w:history="1">
        <w:r w:rsidR="00BE549E" w:rsidRPr="00543E2E">
          <w:rPr>
            <w:rStyle w:val="Hiperhivatkozs"/>
          </w:rPr>
          <w:t>http://</w:t>
        </w:r>
        <w:proofErr w:type="gramStart"/>
        <w:r w:rsidR="00BE549E" w:rsidRPr="00543E2E">
          <w:rPr>
            <w:rStyle w:val="Hiperhivatkozs"/>
          </w:rPr>
          <w:t>tka.hu/palyazatok/2962/stipendium-hungaricum</w:t>
        </w:r>
      </w:hyperlink>
      <w:r w:rsidR="00BE549E" w:rsidRPr="00543E2E">
        <w:t xml:space="preserve"> </w:t>
      </w:r>
      <w:r w:rsidR="001A5D94" w:rsidRPr="00543E2E">
        <w:t>)</w:t>
      </w:r>
      <w:proofErr w:type="gramEnd"/>
      <w:r w:rsidR="001A5D94" w:rsidRPr="00543E2E">
        <w:t xml:space="preserve">, </w:t>
      </w:r>
      <w:r w:rsidR="00D56E74" w:rsidRPr="00543E2E">
        <w:t xml:space="preserve">illetve </w:t>
      </w:r>
      <w:r w:rsidR="001A5D94" w:rsidRPr="00543E2E">
        <w:t>angol és francia nyelven (</w:t>
      </w:r>
      <w:hyperlink r:id="rId12" w:history="1">
        <w:r w:rsidR="00BE549E" w:rsidRPr="00543E2E">
          <w:rPr>
            <w:rStyle w:val="Hiperhivatkozs"/>
          </w:rPr>
          <w:t>http://tka.hu/international-programmes/3697/rights-and-obligations</w:t>
        </w:r>
      </w:hyperlink>
      <w:r w:rsidR="001A5D94" w:rsidRPr="00543E2E">
        <w:t>)</w:t>
      </w:r>
      <w:r w:rsidR="00FE06C0" w:rsidRPr="00543E2E">
        <w:t xml:space="preserve"> Az intézményi pályázat benyújtásával az intézmény elfogadja, hogy sikeres pályázás esetén magára nézve kötelező érvényűnek tekinti a program működési szabályzatát.</w:t>
      </w:r>
    </w:p>
    <w:p w:rsidR="0050193F" w:rsidRPr="00065830" w:rsidRDefault="004A7A52" w:rsidP="00E03637">
      <w:pPr>
        <w:pStyle w:val="Cmsor1"/>
      </w:pPr>
      <w:bookmarkStart w:id="12" w:name="_Toc461010585"/>
      <w:r>
        <w:t>A program tervezett</w:t>
      </w:r>
      <w:r w:rsidR="00877294" w:rsidRPr="00065830">
        <w:t xml:space="preserve"> menetrend</w:t>
      </w:r>
      <w:r>
        <w:t>je</w:t>
      </w:r>
      <w:bookmarkEnd w:id="12"/>
    </w:p>
    <w:p w:rsidR="00065830" w:rsidRPr="00543E2E" w:rsidRDefault="00065830">
      <w:r w:rsidRPr="00543E2E">
        <w:t xml:space="preserve">A </w:t>
      </w:r>
      <w:r w:rsidR="004E0689" w:rsidRPr="00543E2E">
        <w:t>képzési</w:t>
      </w:r>
      <w:r w:rsidRPr="00543E2E">
        <w:t xml:space="preserve"> és </w:t>
      </w:r>
      <w:r w:rsidR="004E0689" w:rsidRPr="00543E2E">
        <w:t>felsőoktatási előkészítő</w:t>
      </w:r>
      <w:r w:rsidRPr="00543E2E">
        <w:t xml:space="preserve"> pályázatok benyújtásának határideje 201</w:t>
      </w:r>
      <w:r w:rsidR="00007703" w:rsidRPr="00543E2E">
        <w:t>6</w:t>
      </w:r>
      <w:r w:rsidRPr="00543E2E">
        <w:t xml:space="preserve">. </w:t>
      </w:r>
      <w:r w:rsidR="009E32B7">
        <w:t>október 2</w:t>
      </w:r>
      <w:r w:rsidR="00BC6F92" w:rsidRPr="00543E2E">
        <w:t>4.</w:t>
      </w:r>
      <w:r w:rsidRPr="00543E2E">
        <w:t xml:space="preserve"> 1</w:t>
      </w:r>
      <w:r w:rsidR="009E32B7">
        <w:t>4</w:t>
      </w:r>
      <w:r w:rsidRPr="00543E2E">
        <w:t>:00.</w:t>
      </w:r>
    </w:p>
    <w:p w:rsidR="001E28CE" w:rsidRPr="007B5286" w:rsidRDefault="00065830">
      <w:r w:rsidRPr="00543E2E">
        <w:t>A pályázatokról előreláthatóan 201</w:t>
      </w:r>
      <w:r w:rsidR="00007703" w:rsidRPr="00543E2E">
        <w:t>6</w:t>
      </w:r>
      <w:r w:rsidRPr="00543E2E">
        <w:t xml:space="preserve">. </w:t>
      </w:r>
      <w:r w:rsidR="001F0A03">
        <w:t>december 7</w:t>
      </w:r>
      <w:r w:rsidR="00BC6F92" w:rsidRPr="00543E2E">
        <w:t>-</w:t>
      </w:r>
      <w:r w:rsidR="001F0A03">
        <w:t>é</w:t>
      </w:r>
      <w:r w:rsidR="00BC6F92" w:rsidRPr="00543E2E">
        <w:t>n</w:t>
      </w:r>
      <w:r w:rsidRPr="00543E2E">
        <w:t xml:space="preserve"> dönt a Tempus Közalapítvány</w:t>
      </w:r>
      <w:r w:rsidRPr="007B5286">
        <w:t xml:space="preserve"> Kuratóriuma. </w:t>
      </w:r>
    </w:p>
    <w:p w:rsidR="00065830" w:rsidRPr="007B5286" w:rsidRDefault="00065830">
      <w:r w:rsidRPr="007B5286">
        <w:t>A nyertes pályázók számára az alábbi</w:t>
      </w:r>
      <w:r w:rsidR="00113B6C" w:rsidRPr="007B5286">
        <w:t>,</w:t>
      </w:r>
      <w:r w:rsidRPr="007B5286">
        <w:t xml:space="preserve"> tervezett menetr</w:t>
      </w:r>
      <w:r w:rsidR="001E28CE" w:rsidRPr="007B5286">
        <w:t>end nyújthat támpontot a programban való részvételhez:</w:t>
      </w:r>
    </w:p>
    <w:p w:rsidR="00543E2E" w:rsidRDefault="00B81344">
      <w:r w:rsidRPr="007B5286">
        <w:t>201</w:t>
      </w:r>
      <w:r w:rsidR="00007703">
        <w:t>6</w:t>
      </w:r>
      <w:r w:rsidRPr="007B5286">
        <w:t xml:space="preserve">. </w:t>
      </w:r>
      <w:r w:rsidR="00BC6F92">
        <w:t xml:space="preserve">december </w:t>
      </w:r>
      <w:r w:rsidR="00673117">
        <w:t>13</w:t>
      </w:r>
      <w:r w:rsidRPr="007B5286">
        <w:t>-ig</w:t>
      </w:r>
      <w:r w:rsidR="002312D1">
        <w:t xml:space="preserve"> a</w:t>
      </w:r>
      <w:r w:rsidR="00B7707B" w:rsidRPr="007B5286">
        <w:t>z intézmények kiértesítése a pályázat támogatásáról</w:t>
      </w:r>
      <w:r w:rsidR="00EA1D35">
        <w:t xml:space="preserve">. </w:t>
      </w:r>
    </w:p>
    <w:p w:rsidR="00B7707B" w:rsidRPr="007B5286" w:rsidRDefault="00673117">
      <w:r>
        <w:t>Az intézményeknek december 19</w:t>
      </w:r>
      <w:r w:rsidR="00543E2E">
        <w:t xml:space="preserve">-ig jelezniük kell, hogy elfogadják-e a támogatást, amennyiben a pályázatot csak költségcsökkentéssel támogatja a TKA kuratóriuma.  </w:t>
      </w:r>
    </w:p>
    <w:p w:rsidR="000A7B46" w:rsidRPr="007B5286" w:rsidRDefault="000A7B46">
      <w:r w:rsidRPr="007B5286">
        <w:t>201</w:t>
      </w:r>
      <w:r w:rsidR="00665024">
        <w:t>7</w:t>
      </w:r>
      <w:r w:rsidRPr="007B5286">
        <w:t xml:space="preserve">. </w:t>
      </w:r>
      <w:r w:rsidR="00BC6F92">
        <w:t xml:space="preserve">január </w:t>
      </w:r>
      <w:r w:rsidR="00CC3DC7">
        <w:t>elejétől</w:t>
      </w:r>
      <w:bookmarkStart w:id="13" w:name="_GoBack"/>
      <w:bookmarkEnd w:id="13"/>
      <w:r w:rsidR="00450530" w:rsidRPr="007B5286">
        <w:t xml:space="preserve"> </w:t>
      </w:r>
      <w:r w:rsidRPr="007B5286">
        <w:t>hallgatói pályázatok meghirdetése a 201</w:t>
      </w:r>
      <w:r w:rsidR="00007703">
        <w:t>7</w:t>
      </w:r>
      <w:r w:rsidRPr="007B5286">
        <w:t>/1</w:t>
      </w:r>
      <w:r w:rsidR="00007703">
        <w:t>8</w:t>
      </w:r>
      <w:r w:rsidRPr="007B5286">
        <w:t>-</w:t>
      </w:r>
      <w:r w:rsidR="00007703">
        <w:t>a</w:t>
      </w:r>
      <w:r w:rsidRPr="007B5286">
        <w:t>s tanévre, promóció</w:t>
      </w:r>
    </w:p>
    <w:p w:rsidR="000A7B46" w:rsidRDefault="000A7B46">
      <w:r w:rsidRPr="007B5286">
        <w:t>201</w:t>
      </w:r>
      <w:r w:rsidR="00007703">
        <w:t>7</w:t>
      </w:r>
      <w:r w:rsidRPr="007B5286">
        <w:t xml:space="preserve">. </w:t>
      </w:r>
      <w:r w:rsidR="00BC6F92">
        <w:t xml:space="preserve">március </w:t>
      </w:r>
      <w:r w:rsidR="00EA1D35">
        <w:t>5</w:t>
      </w:r>
      <w:r w:rsidR="00C23569">
        <w:t>: a</w:t>
      </w:r>
      <w:r w:rsidRPr="007B5286">
        <w:t xml:space="preserve"> </w:t>
      </w:r>
      <w:r w:rsidR="00C42740" w:rsidRPr="007B5286">
        <w:t>201</w:t>
      </w:r>
      <w:r w:rsidR="00C42740">
        <w:t>7</w:t>
      </w:r>
      <w:r w:rsidRPr="007B5286">
        <w:t>/</w:t>
      </w:r>
      <w:r w:rsidR="00C42740" w:rsidRPr="007B5286">
        <w:t>1</w:t>
      </w:r>
      <w:r w:rsidR="00C42740">
        <w:t>8</w:t>
      </w:r>
      <w:r w:rsidRPr="007B5286">
        <w:t>-es tanévre pályázó hallgatók jelentkezési határideje.</w:t>
      </w:r>
    </w:p>
    <w:p w:rsidR="00BC6F92" w:rsidRPr="007B5286" w:rsidRDefault="00BC6F92" w:rsidP="00BC6F92">
      <w:r>
        <w:t xml:space="preserve">2017. március </w:t>
      </w:r>
      <w:r w:rsidR="00EA1D35">
        <w:t>5</w:t>
      </w:r>
      <w:r>
        <w:t xml:space="preserve">. – április </w:t>
      </w:r>
      <w:r w:rsidR="00EA1D35">
        <w:t>9</w:t>
      </w:r>
      <w:r>
        <w:t>:</w:t>
      </w:r>
      <w:r w:rsidRPr="007B5286">
        <w:t xml:space="preserve"> </w:t>
      </w:r>
      <w:r>
        <w:t>a</w:t>
      </w:r>
      <w:r w:rsidRPr="007B5286">
        <w:t xml:space="preserve"> 201</w:t>
      </w:r>
      <w:r>
        <w:t>7</w:t>
      </w:r>
      <w:r w:rsidRPr="007B5286">
        <w:t>/1</w:t>
      </w:r>
      <w:r>
        <w:t>8-es partnerországok jelölésének időszaka</w:t>
      </w:r>
      <w:r w:rsidRPr="007B5286">
        <w:t>.</w:t>
      </w:r>
    </w:p>
    <w:p w:rsidR="000A7B46" w:rsidRPr="007B5286" w:rsidRDefault="00C23569">
      <w:r>
        <w:t>201</w:t>
      </w:r>
      <w:r w:rsidR="00007703">
        <w:t>7</w:t>
      </w:r>
      <w:r>
        <w:t xml:space="preserve">. </w:t>
      </w:r>
      <w:r w:rsidR="00EA1D35">
        <w:t xml:space="preserve">április </w:t>
      </w:r>
      <w:r>
        <w:t>– június</w:t>
      </w:r>
      <w:r w:rsidR="00E25820">
        <w:t xml:space="preserve"> </w:t>
      </w:r>
      <w:r w:rsidR="00543E2E">
        <w:t>4</w:t>
      </w:r>
      <w:r>
        <w:t>:</w:t>
      </w:r>
      <w:r w:rsidR="000A7B46" w:rsidRPr="007B5286">
        <w:t xml:space="preserve"> </w:t>
      </w:r>
      <w:r>
        <w:t>a</w:t>
      </w:r>
      <w:r w:rsidR="000A7B46" w:rsidRPr="007B5286">
        <w:t xml:space="preserve"> </w:t>
      </w:r>
      <w:r w:rsidR="00C42740" w:rsidRPr="007B5286">
        <w:t>201</w:t>
      </w:r>
      <w:r w:rsidR="00C42740">
        <w:t>7</w:t>
      </w:r>
      <w:r w:rsidR="000A7B46" w:rsidRPr="007B5286">
        <w:t>/</w:t>
      </w:r>
      <w:r w:rsidR="00C42740" w:rsidRPr="007B5286">
        <w:t>1</w:t>
      </w:r>
      <w:r w:rsidR="00C42740">
        <w:t>8</w:t>
      </w:r>
      <w:r w:rsidR="000A7B46" w:rsidRPr="007B5286">
        <w:t>-es tanévre pályázó hallgatók</w:t>
      </w:r>
      <w:r w:rsidR="00BC6F92">
        <w:t xml:space="preserve"> pályázati anyagának ellenőrzése és</w:t>
      </w:r>
      <w:r w:rsidR="000A7B46" w:rsidRPr="007B5286">
        <w:t xml:space="preserve"> felvételi időszaka</w:t>
      </w:r>
      <w:r w:rsidR="00543E2E">
        <w:t xml:space="preserve"> (intézményi hatáskör)</w:t>
      </w:r>
      <w:r w:rsidR="000A7B46" w:rsidRPr="007B5286">
        <w:t>.</w:t>
      </w:r>
    </w:p>
    <w:p w:rsidR="000A7B46" w:rsidRDefault="000A7B46">
      <w:r w:rsidRPr="007B5286">
        <w:t>201</w:t>
      </w:r>
      <w:r w:rsidR="00007703">
        <w:t>7</w:t>
      </w:r>
      <w:r w:rsidRPr="007B5286">
        <w:t xml:space="preserve">. </w:t>
      </w:r>
      <w:r w:rsidR="00C23569">
        <w:t>jú</w:t>
      </w:r>
      <w:r w:rsidR="00E25820">
        <w:t>n</w:t>
      </w:r>
      <w:r w:rsidR="00C23569">
        <w:t xml:space="preserve">ius </w:t>
      </w:r>
      <w:r w:rsidR="00E25820">
        <w:t>közepe</w:t>
      </w:r>
      <w:r w:rsidR="00C23569">
        <w:t>:</w:t>
      </w:r>
      <w:r w:rsidRPr="007B5286">
        <w:t xml:space="preserve"> </w:t>
      </w:r>
      <w:r w:rsidR="00C23569">
        <w:t>d</w:t>
      </w:r>
      <w:r w:rsidRPr="007B5286">
        <w:t xml:space="preserve">öntés a </w:t>
      </w:r>
      <w:r w:rsidR="00C42740" w:rsidRPr="007B5286">
        <w:t>201</w:t>
      </w:r>
      <w:r w:rsidR="00C42740">
        <w:t>7</w:t>
      </w:r>
      <w:r w:rsidRPr="007B5286">
        <w:t>/</w:t>
      </w:r>
      <w:r w:rsidR="00C42740" w:rsidRPr="007B5286">
        <w:t>1</w:t>
      </w:r>
      <w:r w:rsidR="00C42740">
        <w:t>8</w:t>
      </w:r>
      <w:r w:rsidRPr="007B5286">
        <w:t>-es tanév</w:t>
      </w:r>
      <w:r w:rsidR="003B1990">
        <w:t>re</w:t>
      </w:r>
      <w:r w:rsidRPr="007B5286">
        <w:t xml:space="preserve"> pályázó hallgatókról.</w:t>
      </w:r>
    </w:p>
    <w:p w:rsidR="001E28CE" w:rsidRPr="00002145" w:rsidRDefault="004A7A52" w:rsidP="00E03637">
      <w:pPr>
        <w:pStyle w:val="Cmsor1"/>
      </w:pPr>
      <w:bookmarkStart w:id="14" w:name="_Toc461010586"/>
      <w:r w:rsidRPr="00002145">
        <w:t>A rendelkezésre álló pályázati keret</w:t>
      </w:r>
      <w:bookmarkEnd w:id="14"/>
    </w:p>
    <w:p w:rsidR="004A7A52" w:rsidRDefault="004A7A52" w:rsidP="00B927E5">
      <w:pPr>
        <w:jc w:val="both"/>
      </w:pPr>
      <w:r w:rsidRPr="00002145">
        <w:t xml:space="preserve">A képzési és </w:t>
      </w:r>
      <w:r w:rsidR="004E0689" w:rsidRPr="00002145">
        <w:t>felsőoktatási előkészítő</w:t>
      </w:r>
      <w:r w:rsidRPr="00002145">
        <w:t xml:space="preserve"> pályázatok a programban való részvételre irányulnak, a sikeresen szereplő pályázatok közvetlen támogatásban nem részesülnek.</w:t>
      </w:r>
    </w:p>
    <w:p w:rsidR="00E1763A" w:rsidRPr="00114EC3" w:rsidRDefault="00E1763A" w:rsidP="0054137E">
      <w:pPr>
        <w:pStyle w:val="Cmsor1"/>
      </w:pPr>
      <w:bookmarkStart w:id="15" w:name="_Toc461010587"/>
      <w:r w:rsidRPr="00114EC3">
        <w:t>Intézményi kiválasztási szempontok</w:t>
      </w:r>
      <w:bookmarkEnd w:id="15"/>
    </w:p>
    <w:p w:rsidR="004A7A52" w:rsidRPr="004A7A52" w:rsidRDefault="004A7A52" w:rsidP="0054137E">
      <w:pPr>
        <w:pStyle w:val="Cmsor1"/>
        <w:ind w:firstLine="708"/>
      </w:pPr>
      <w:bookmarkStart w:id="16" w:name="_Toc461010588"/>
      <w:r w:rsidRPr="004A7A52">
        <w:t>Formai kritériumok</w:t>
      </w:r>
      <w:bookmarkEnd w:id="16"/>
    </w:p>
    <w:p w:rsidR="000F4FFA" w:rsidRDefault="000F4FFA" w:rsidP="004A7A52">
      <w:pPr>
        <w:jc w:val="both"/>
      </w:pPr>
      <w:r>
        <w:t>Általános formai kritériumok:</w:t>
      </w:r>
    </w:p>
    <w:p w:rsidR="000F4FFA" w:rsidRDefault="000F4FFA" w:rsidP="00C35B96">
      <w:pPr>
        <w:pStyle w:val="Listaszerbekezds"/>
        <w:numPr>
          <w:ilvl w:val="0"/>
          <w:numId w:val="2"/>
        </w:numPr>
        <w:jc w:val="both"/>
      </w:pPr>
      <w:r>
        <w:t>a pályázat</w:t>
      </w:r>
      <w:r w:rsidR="00113B6C">
        <w:t xml:space="preserve"> </w:t>
      </w:r>
      <w:r w:rsidR="00B81344">
        <w:t xml:space="preserve">a megfelelő űrlapon </w:t>
      </w:r>
      <w:r w:rsidR="00113B6C">
        <w:t>hiánytalanul</w:t>
      </w:r>
      <w:r>
        <w:t xml:space="preserve"> </w:t>
      </w:r>
      <w:r w:rsidR="001D3C2D">
        <w:t>benyújtásra kerül</w:t>
      </w:r>
      <w:r w:rsidR="00F36215">
        <w:t>t</w:t>
      </w:r>
      <w:r w:rsidR="001D3C2D">
        <w:t xml:space="preserve"> elektronikusan a pályázati határidőre</w:t>
      </w:r>
      <w:r w:rsidR="0064084E">
        <w:t xml:space="preserve"> </w:t>
      </w:r>
      <w:r w:rsidR="001D3C2D">
        <w:t xml:space="preserve">a </w:t>
      </w:r>
      <w:hyperlink r:id="rId13" w:history="1">
        <w:r w:rsidR="00C35B96" w:rsidRPr="00A12125">
          <w:rPr>
            <w:rStyle w:val="Hiperhivatkozs"/>
          </w:rPr>
          <w:t>www.stipendiumhungaricum.hu/intezmenyipalyazat</w:t>
        </w:r>
      </w:hyperlink>
      <w:r w:rsidR="00C35B96">
        <w:t xml:space="preserve"> </w:t>
      </w:r>
      <w:r w:rsidR="00007703">
        <w:t>címen;</w:t>
      </w:r>
    </w:p>
    <w:p w:rsidR="00B81344" w:rsidRDefault="00F36215" w:rsidP="000F4FFA">
      <w:pPr>
        <w:pStyle w:val="Listaszerbekezds"/>
        <w:numPr>
          <w:ilvl w:val="0"/>
          <w:numId w:val="2"/>
        </w:numPr>
        <w:jc w:val="both"/>
      </w:pPr>
      <w:r>
        <w:t>a</w:t>
      </w:r>
      <w:r w:rsidRPr="0052442E">
        <w:t xml:space="preserve"> </w:t>
      </w:r>
      <w:r w:rsidR="00B81344" w:rsidRPr="0052442E">
        <w:t>pályázathoz csatolták a szükséges mellékleteket elektronikus formában</w:t>
      </w:r>
      <w:r w:rsidR="00007703">
        <w:t>.</w:t>
      </w:r>
    </w:p>
    <w:p w:rsidR="00E1763A" w:rsidRPr="00114EC3" w:rsidRDefault="00E1763A" w:rsidP="006A0AF5">
      <w:pPr>
        <w:pStyle w:val="Cmsor1"/>
        <w:ind w:firstLine="360"/>
      </w:pPr>
      <w:bookmarkStart w:id="17" w:name="_Toc461010589"/>
      <w:r>
        <w:lastRenderedPageBreak/>
        <w:t>Speciális f</w:t>
      </w:r>
      <w:bookmarkStart w:id="18" w:name="_Toc453746823"/>
      <w:r w:rsidRPr="00114EC3">
        <w:t>ormai kritériumok</w:t>
      </w:r>
      <w:bookmarkEnd w:id="18"/>
      <w:bookmarkEnd w:id="17"/>
    </w:p>
    <w:p w:rsidR="00E1763A" w:rsidRDefault="00E1763A" w:rsidP="00A324CC">
      <w:pPr>
        <w:pStyle w:val="Listaszerbekezds"/>
        <w:numPr>
          <w:ilvl w:val="0"/>
          <w:numId w:val="8"/>
        </w:numPr>
        <w:jc w:val="both"/>
      </w:pPr>
      <w:r w:rsidRPr="004A7A52">
        <w:t xml:space="preserve">kizárólag </w:t>
      </w:r>
      <w:r>
        <w:t>Magyarországon</w:t>
      </w:r>
      <w:r w:rsidR="00E36FA0">
        <w:t xml:space="preserve"> működő</w:t>
      </w:r>
      <w:r>
        <w:t xml:space="preserve"> állami vagy államilag elismert egyházi fenntartású felsőoktatási intézmények vehetnek részt a programban, olyan, </w:t>
      </w:r>
      <w:r w:rsidRPr="004A7A52">
        <w:t>a magyar képzési rendszerbe tartozó alap-, mester-</w:t>
      </w:r>
      <w:r>
        <w:t>,</w:t>
      </w:r>
      <w:r w:rsidRPr="004A7A52">
        <w:t xml:space="preserve"> osztatlan </w:t>
      </w:r>
      <w:r>
        <w:t xml:space="preserve">mesterképzéssel vagy doktori iskolával lehet pályázni, amelynek </w:t>
      </w:r>
      <w:r w:rsidRPr="004B66D8">
        <w:t xml:space="preserve">idegen nyelven történő indítását az Oktatási </w:t>
      </w:r>
      <w:proofErr w:type="gramStart"/>
      <w:r w:rsidRPr="004B66D8">
        <w:t>Hivatal</w:t>
      </w:r>
      <w:r>
        <w:t xml:space="preserve"> támogató</w:t>
      </w:r>
      <w:proofErr w:type="gramEnd"/>
      <w:r>
        <w:t xml:space="preserve"> MAB szakvélemény vagy külön miniszteri döntés alapján</w:t>
      </w:r>
      <w:r w:rsidRPr="004B66D8">
        <w:t xml:space="preserve"> nyilvántartásba vett</w:t>
      </w:r>
      <w:r>
        <w:t xml:space="preserve"> </w:t>
      </w:r>
      <w:r w:rsidRPr="00A324CC">
        <w:rPr>
          <w:b/>
        </w:rPr>
        <w:t>és</w:t>
      </w:r>
    </w:p>
    <w:p w:rsidR="003D6B3F" w:rsidRDefault="00E1763A" w:rsidP="003D6B3F">
      <w:pPr>
        <w:pStyle w:val="Listaszerbekezds"/>
        <w:numPr>
          <w:ilvl w:val="0"/>
          <w:numId w:val="8"/>
        </w:numPr>
        <w:jc w:val="both"/>
      </w:pPr>
      <w:r>
        <w:t>magyar nyelvű felsőoktatási előkészítő vagy angol nyelvű zeneművészeti</w:t>
      </w:r>
      <w:r w:rsidRPr="00D7187D">
        <w:t xml:space="preserve"> </w:t>
      </w:r>
      <w:r w:rsidR="00602587">
        <w:t xml:space="preserve">vagy műszaki </w:t>
      </w:r>
      <w:r w:rsidRPr="00D7187D">
        <w:t>alap- és mesterképzéseket megelőző</w:t>
      </w:r>
      <w:r>
        <w:t xml:space="preserve"> </w:t>
      </w:r>
      <w:r w:rsidRPr="00D7187D">
        <w:t>előkészítő vagy</w:t>
      </w:r>
      <w:r w:rsidR="00602587">
        <w:t xml:space="preserve"> zeneművészeti</w:t>
      </w:r>
      <w:r w:rsidR="00602587" w:rsidRPr="00D7187D">
        <w:t xml:space="preserve"> </w:t>
      </w:r>
      <w:r w:rsidR="00602587">
        <w:t xml:space="preserve">képzés esetén </w:t>
      </w:r>
      <w:r w:rsidRPr="00D7187D">
        <w:t>azt követő specializációt nyújtó képzés</w:t>
      </w:r>
    </w:p>
    <w:p w:rsidR="003D6B3F" w:rsidRPr="009D1492" w:rsidRDefault="003D6B3F" w:rsidP="00793612">
      <w:pPr>
        <w:ind w:left="142"/>
        <w:jc w:val="both"/>
      </w:pPr>
      <w:r w:rsidRPr="009D1492">
        <w:t>Felhívjuk figyelmüket, hogy ebben a pályázati körben a tartalmi értékelés során pontszámmal honoráljuk, ha az adott képzés idegen nyelvű indítását a MAB támogatta, de a következő pályázati szakaszban (a 2019/2020-ra és 2020/2021-es tanévre vonatkozó pályázati felhívásban)</w:t>
      </w:r>
      <w:r w:rsidR="003112BE" w:rsidRPr="009D1492">
        <w:t xml:space="preserve"> </w:t>
      </w:r>
      <w:r w:rsidR="00953668" w:rsidRPr="009D1492">
        <w:t>ennek szempontnak a súlya növekedni fog.</w:t>
      </w:r>
    </w:p>
    <w:p w:rsidR="003D6B3F" w:rsidRPr="006A0AF5" w:rsidRDefault="003D6B3F" w:rsidP="006A0AF5">
      <w:pPr>
        <w:ind w:left="708"/>
        <w:jc w:val="both"/>
        <w:rPr>
          <w:b/>
        </w:rPr>
      </w:pPr>
    </w:p>
    <w:p w:rsidR="00E1763A" w:rsidRDefault="00E1763A" w:rsidP="006A0AF5">
      <w:pPr>
        <w:pStyle w:val="Cmsor1"/>
        <w:ind w:left="720"/>
      </w:pPr>
      <w:bookmarkStart w:id="19" w:name="_Toc453746824"/>
      <w:bookmarkStart w:id="20" w:name="_Toc461010590"/>
      <w:r>
        <w:t>Tartalmi szempontok</w:t>
      </w:r>
      <w:bookmarkEnd w:id="19"/>
      <w:bookmarkEnd w:id="20"/>
    </w:p>
    <w:p w:rsidR="00E1763A" w:rsidRDefault="00E1763A" w:rsidP="00E1763A">
      <w:pPr>
        <w:jc w:val="both"/>
      </w:pPr>
      <w:r>
        <w:t xml:space="preserve">Tekintettel arra, hogy a pályázatban megfogalmazott tevékenységek és képzési programok megvalósítása, valamint a vállalt feltételek megteremtése és biztosítása intézményi hatáskör, a formai követelményeknek megfelelt pályázatoknak mindenekelőtt egy intézményi szintű tartalmi vizsgálaton kell, hogy bizonyítsák alkalmasságukat. </w:t>
      </w:r>
      <w:r w:rsidRPr="0043424F">
        <w:t xml:space="preserve">A </w:t>
      </w:r>
      <w:proofErr w:type="spellStart"/>
      <w:r w:rsidRPr="0043424F">
        <w:t>nemzetköziesedési</w:t>
      </w:r>
      <w:proofErr w:type="spellEnd"/>
      <w:r w:rsidRPr="0043424F">
        <w:t xml:space="preserve"> szempontok és minőségfejlődési elvárások érdekében az </w:t>
      </w:r>
      <w:r w:rsidRPr="00793612">
        <w:t>alkalmasság minimuma 65 %.</w:t>
      </w:r>
      <w:r w:rsidRPr="0043424F">
        <w:t xml:space="preserve"> Az</w:t>
      </w:r>
      <w:r>
        <w:t xml:space="preserve"> alkalmasnak bizonyult intézmények esetében kerül csak sor a képzési programok vizsgálatára.</w:t>
      </w:r>
    </w:p>
    <w:p w:rsidR="00E1763A" w:rsidRPr="005A06EC" w:rsidRDefault="00E1763A" w:rsidP="00E1763A">
      <w:pPr>
        <w:jc w:val="both"/>
      </w:pPr>
      <w:r>
        <w:t>A tartalmi szempontokat 2-2 független, külső szakértő</w:t>
      </w:r>
      <w:r w:rsidRPr="00D27F7F">
        <w:t xml:space="preserve"> </w:t>
      </w:r>
      <w:r w:rsidR="00B859EE">
        <w:t>vizsgálja</w:t>
      </w:r>
      <w:r>
        <w:t>.</w:t>
      </w:r>
    </w:p>
    <w:p w:rsidR="00E1763A" w:rsidRDefault="00E1763A" w:rsidP="00E1763A">
      <w:pPr>
        <w:pStyle w:val="Cmsor4"/>
      </w:pPr>
      <w:r>
        <w:t>Intézményi szintű szempontok vizsgálata</w:t>
      </w:r>
    </w:p>
    <w:p w:rsidR="00E1763A" w:rsidRPr="005A06EC" w:rsidRDefault="00E1763A" w:rsidP="00E1763A">
      <w:pPr>
        <w:jc w:val="both"/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1763A" w:rsidTr="0043424F">
        <w:tc>
          <w:tcPr>
            <w:tcW w:w="7479" w:type="dxa"/>
          </w:tcPr>
          <w:p w:rsidR="00E1763A" w:rsidRDefault="00E1763A" w:rsidP="00E1763A">
            <w:r w:rsidRPr="00E17A1F">
              <w:rPr>
                <w:b/>
              </w:rPr>
              <w:t xml:space="preserve">Az intézményi vagy </w:t>
            </w:r>
            <w:proofErr w:type="spellStart"/>
            <w:r w:rsidRPr="00E17A1F">
              <w:rPr>
                <w:b/>
              </w:rPr>
              <w:t>nemzetköziesedési</w:t>
            </w:r>
            <w:proofErr w:type="spellEnd"/>
            <w:r w:rsidRPr="00E17A1F">
              <w:rPr>
                <w:b/>
              </w:rPr>
              <w:t xml:space="preserve"> stratégia kapcsolódásai a program céljaihoz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1F7C7C" w:rsidP="001A5464">
            <w:pPr>
              <w:spacing w:after="200" w:line="276" w:lineRule="auto"/>
              <w:ind w:left="34" w:hanging="34"/>
            </w:pPr>
            <w:r w:rsidRPr="0043424F">
              <w:t>20</w:t>
            </w:r>
            <w:r w:rsidR="00E1763A" w:rsidRPr="00793612">
              <w:t>%</w:t>
            </w:r>
          </w:p>
        </w:tc>
      </w:tr>
      <w:tr w:rsidR="00E1763A" w:rsidTr="0043424F">
        <w:tc>
          <w:tcPr>
            <w:tcW w:w="7479" w:type="dxa"/>
          </w:tcPr>
          <w:p w:rsidR="00E1763A" w:rsidRPr="00405918" w:rsidRDefault="00E1763A" w:rsidP="001A5464">
            <w:pPr>
              <w:rPr>
                <w:b/>
              </w:rPr>
            </w:pPr>
            <w:r w:rsidRPr="00405918">
              <w:rPr>
                <w:b/>
              </w:rPr>
              <w:t xml:space="preserve">A program intézményi beágyazódását és megvalósulását biztosító emberi erőforrások rendelkezésre állása és a vonatkozó főbb feladat- és felelősségi körök kifejtettsége és relevanciája </w:t>
            </w:r>
          </w:p>
          <w:p w:rsidR="00E1763A" w:rsidRDefault="00E1763A" w:rsidP="001A5464">
            <w:pPr>
              <w:pStyle w:val="Lista2"/>
              <w:ind w:left="0" w:firstLine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1763A" w:rsidRPr="00793612" w:rsidRDefault="00B477A0" w:rsidP="001A5464">
            <w:pPr>
              <w:spacing w:after="200" w:line="276" w:lineRule="auto"/>
              <w:ind w:left="34" w:hanging="34"/>
            </w:pPr>
            <w:r w:rsidRPr="0043424F">
              <w:t>15</w:t>
            </w:r>
            <w:r w:rsidR="00E1763A" w:rsidRPr="00793612">
              <w:t>%</w:t>
            </w:r>
          </w:p>
        </w:tc>
      </w:tr>
      <w:tr w:rsidR="00E1763A" w:rsidTr="0043424F">
        <w:tc>
          <w:tcPr>
            <w:tcW w:w="7479" w:type="dxa"/>
          </w:tcPr>
          <w:p w:rsidR="00E1763A" w:rsidRPr="00E17A1F" w:rsidRDefault="00E1763A" w:rsidP="00793612">
            <w:pPr>
              <w:rPr>
                <w:sz w:val="20"/>
              </w:rPr>
            </w:pPr>
            <w:r w:rsidRPr="00405918">
              <w:rPr>
                <w:b/>
              </w:rPr>
              <w:t>Az intézményi szintű hallgatótoborzást támogató kommunikációs és marketing eszközök és felkészültség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1F7C7C" w:rsidP="001A5464">
            <w:pPr>
              <w:spacing w:after="200" w:line="276" w:lineRule="auto"/>
              <w:ind w:left="34" w:hanging="34"/>
            </w:pPr>
            <w:r w:rsidRPr="0043424F">
              <w:t>20</w:t>
            </w:r>
            <w:r w:rsidR="00E1763A" w:rsidRPr="00793612">
              <w:t>%</w:t>
            </w:r>
          </w:p>
        </w:tc>
      </w:tr>
      <w:tr w:rsidR="00E1763A" w:rsidTr="0043424F">
        <w:tc>
          <w:tcPr>
            <w:tcW w:w="7479" w:type="dxa"/>
          </w:tcPr>
          <w:p w:rsidR="00E1763A" w:rsidRPr="00E17A1F" w:rsidRDefault="00E1763A" w:rsidP="001A5464">
            <w:pPr>
              <w:ind w:left="567"/>
              <w:rPr>
                <w:i/>
              </w:rPr>
            </w:pPr>
            <w:r w:rsidRPr="00E17A1F">
              <w:rPr>
                <w:i/>
              </w:rPr>
              <w:t>A rendelkezésre álló kommunikációs és marketing eszközök kapcsolódásai és szinergiái</w:t>
            </w:r>
            <w:r>
              <w:rPr>
                <w:i/>
              </w:rPr>
              <w:t>.</w:t>
            </w:r>
            <w:r w:rsidRPr="00E17A1F">
              <w:rPr>
                <w:i/>
              </w:rPr>
              <w:t xml:space="preserve"> A kommunikációs és marketing eszközök fejlesztésére vonatkozó törekvések ismertetése a 2016/17 – 2017/18-as tanévekre vonatkozóan.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E1763A" w:rsidP="001A5464">
            <w:pPr>
              <w:spacing w:after="200" w:line="276" w:lineRule="auto"/>
              <w:ind w:left="1206" w:hanging="888"/>
              <w:rPr>
                <w:i/>
              </w:rPr>
            </w:pPr>
            <w:r w:rsidRPr="00793612">
              <w:rPr>
                <w:i/>
              </w:rPr>
              <w:t>5%</w:t>
            </w:r>
          </w:p>
        </w:tc>
      </w:tr>
      <w:tr w:rsidR="00E1763A" w:rsidTr="0043424F">
        <w:tc>
          <w:tcPr>
            <w:tcW w:w="7479" w:type="dxa"/>
          </w:tcPr>
          <w:p w:rsidR="00E1763A" w:rsidRPr="00E17A1F" w:rsidRDefault="00E1763A" w:rsidP="001A5464">
            <w:pPr>
              <w:ind w:left="567"/>
              <w:rPr>
                <w:i/>
              </w:rPr>
            </w:pPr>
            <w:r w:rsidRPr="00E17A1F">
              <w:rPr>
                <w:i/>
              </w:rPr>
              <w:t>A hallgatók számára elérhető információk az intézmény angol nyelvű honlapján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E1763A" w:rsidP="001A5464">
            <w:pPr>
              <w:spacing w:after="200" w:line="276" w:lineRule="auto"/>
              <w:ind w:left="1206" w:hanging="888"/>
              <w:rPr>
                <w:i/>
              </w:rPr>
            </w:pPr>
            <w:r w:rsidRPr="00793612">
              <w:rPr>
                <w:i/>
              </w:rPr>
              <w:t>5%</w:t>
            </w:r>
          </w:p>
        </w:tc>
      </w:tr>
      <w:tr w:rsidR="00E1763A" w:rsidTr="0043424F">
        <w:tc>
          <w:tcPr>
            <w:tcW w:w="7479" w:type="dxa"/>
          </w:tcPr>
          <w:p w:rsidR="00E1763A" w:rsidRPr="00E17A1F" w:rsidRDefault="00E1763A" w:rsidP="001A5464">
            <w:pPr>
              <w:ind w:left="567"/>
              <w:rPr>
                <w:i/>
              </w:rPr>
            </w:pPr>
            <w:r w:rsidRPr="00E17A1F">
              <w:rPr>
                <w:i/>
              </w:rPr>
              <w:t xml:space="preserve">A hallgatók számára elérhető </w:t>
            </w:r>
            <w:proofErr w:type="gramStart"/>
            <w:r w:rsidRPr="00E17A1F">
              <w:rPr>
                <w:i/>
              </w:rPr>
              <w:t>információk</w:t>
            </w:r>
            <w:proofErr w:type="gramEnd"/>
            <w:r w:rsidRPr="00E17A1F">
              <w:rPr>
                <w:i/>
              </w:rPr>
              <w:t xml:space="preserve"> a </w:t>
            </w:r>
            <w:proofErr w:type="spellStart"/>
            <w:r w:rsidRPr="00E17A1F">
              <w:rPr>
                <w:i/>
              </w:rPr>
              <w:t>Study</w:t>
            </w:r>
            <w:proofErr w:type="spellEnd"/>
            <w:r w:rsidRPr="00E17A1F">
              <w:rPr>
                <w:i/>
              </w:rPr>
              <w:t xml:space="preserve"> in Hungary honlapon</w:t>
            </w:r>
            <w:r w:rsidR="005A0E7B">
              <w:rPr>
                <w:i/>
              </w:rPr>
              <w:t xml:space="preserve"> (</w:t>
            </w:r>
            <w:hyperlink r:id="rId14" w:history="1">
              <w:r w:rsidR="005A0E7B" w:rsidRPr="0028731F">
                <w:rPr>
                  <w:rStyle w:val="Hiperhivatkozs"/>
                  <w:i/>
                </w:rPr>
                <w:t>http://www.studyinhungary.hu/study-in-hungary/menu/universities.html</w:t>
              </w:r>
            </w:hyperlink>
            <w:r w:rsidR="005A0E7B">
              <w:rPr>
                <w:i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1F7C7C" w:rsidP="001A5464">
            <w:pPr>
              <w:spacing w:after="200" w:line="276" w:lineRule="auto"/>
              <w:ind w:left="1206" w:hanging="888"/>
              <w:rPr>
                <w:i/>
              </w:rPr>
            </w:pPr>
            <w:r w:rsidRPr="0043424F">
              <w:rPr>
                <w:i/>
              </w:rPr>
              <w:t>10</w:t>
            </w:r>
            <w:r w:rsidR="00E1763A" w:rsidRPr="00793612">
              <w:rPr>
                <w:i/>
              </w:rPr>
              <w:t>%</w:t>
            </w:r>
          </w:p>
        </w:tc>
      </w:tr>
      <w:tr w:rsidR="00E1763A" w:rsidTr="0043424F">
        <w:tc>
          <w:tcPr>
            <w:tcW w:w="7479" w:type="dxa"/>
          </w:tcPr>
          <w:p w:rsidR="00E1763A" w:rsidRPr="00405918" w:rsidRDefault="00E1763A" w:rsidP="001A5464">
            <w:pPr>
              <w:rPr>
                <w:b/>
              </w:rPr>
            </w:pPr>
            <w:r w:rsidRPr="00405918">
              <w:rPr>
                <w:b/>
              </w:rPr>
              <w:lastRenderedPageBreak/>
              <w:t xml:space="preserve">A kiválasztási és felvételiztetési folyamat </w:t>
            </w:r>
            <w:r w:rsidR="00E25820">
              <w:rPr>
                <w:b/>
              </w:rPr>
              <w:t xml:space="preserve">pontos </w:t>
            </w:r>
            <w:r w:rsidRPr="00405918">
              <w:rPr>
                <w:b/>
              </w:rPr>
              <w:t xml:space="preserve">bemutatása </w:t>
            </w:r>
            <w:r w:rsidR="00E25820">
              <w:rPr>
                <w:b/>
              </w:rPr>
              <w:t>felvételi dokumentáció és eljárás pontos leírása</w:t>
            </w:r>
          </w:p>
          <w:p w:rsidR="00E1763A" w:rsidRPr="00D7187D" w:rsidRDefault="00E1763A" w:rsidP="00E1763A"/>
        </w:tc>
        <w:tc>
          <w:tcPr>
            <w:tcW w:w="1701" w:type="dxa"/>
            <w:shd w:val="clear" w:color="auto" w:fill="auto"/>
          </w:tcPr>
          <w:p w:rsidR="00E1763A" w:rsidRPr="00793612" w:rsidRDefault="00B477A0" w:rsidP="001A5464">
            <w:pPr>
              <w:spacing w:after="200" w:line="276" w:lineRule="auto"/>
              <w:ind w:left="34" w:hanging="34"/>
            </w:pPr>
            <w:r w:rsidRPr="0043424F">
              <w:t>15</w:t>
            </w:r>
            <w:r w:rsidR="00E1763A" w:rsidRPr="00793612">
              <w:t>%</w:t>
            </w:r>
          </w:p>
        </w:tc>
      </w:tr>
      <w:tr w:rsidR="00E1763A" w:rsidTr="0043424F">
        <w:tc>
          <w:tcPr>
            <w:tcW w:w="7479" w:type="dxa"/>
          </w:tcPr>
          <w:p w:rsidR="00E1763A" w:rsidRPr="00D7187D" w:rsidRDefault="00E1763A" w:rsidP="00E1763A">
            <w:r w:rsidRPr="00405918">
              <w:rPr>
                <w:b/>
              </w:rPr>
              <w:t>Az intézmény által nyújtott hallgatói szolgáltatások bemutatása, különös tekintettel a külföldi hallgatók számára biztosított mentorrendszerre, jó gyakorlatokra és fejlesztési tervekre</w:t>
            </w:r>
          </w:p>
        </w:tc>
        <w:tc>
          <w:tcPr>
            <w:tcW w:w="1701" w:type="dxa"/>
            <w:shd w:val="clear" w:color="auto" w:fill="auto"/>
          </w:tcPr>
          <w:p w:rsidR="00E1763A" w:rsidRPr="00793612" w:rsidRDefault="001F7C7C" w:rsidP="001A5464">
            <w:pPr>
              <w:spacing w:after="200" w:line="276" w:lineRule="auto"/>
              <w:ind w:left="34" w:hanging="34"/>
            </w:pPr>
            <w:r w:rsidRPr="0043424F">
              <w:t>15</w:t>
            </w:r>
            <w:r w:rsidR="00E1763A" w:rsidRPr="00793612">
              <w:t>%</w:t>
            </w:r>
          </w:p>
        </w:tc>
      </w:tr>
      <w:tr w:rsidR="00E1763A" w:rsidRPr="00A04757" w:rsidTr="0043424F">
        <w:tc>
          <w:tcPr>
            <w:tcW w:w="7479" w:type="dxa"/>
          </w:tcPr>
          <w:p w:rsidR="00E1763A" w:rsidRPr="00405918" w:rsidRDefault="00E1763A" w:rsidP="001A5464">
            <w:pPr>
              <w:rPr>
                <w:b/>
              </w:rPr>
            </w:pPr>
            <w:r w:rsidRPr="00405918">
              <w:rPr>
                <w:b/>
              </w:rPr>
              <w:t xml:space="preserve">A hallgatók nyelvi-szakmai és kulturális beilleszkedésének és felzárkóztatásának biztosítása a képzések során </w:t>
            </w:r>
          </w:p>
          <w:p w:rsidR="00E1763A" w:rsidRDefault="00E1763A" w:rsidP="00793612">
            <w:pPr>
              <w:pStyle w:val="Lista2"/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E1763A" w:rsidRPr="00793612" w:rsidRDefault="001F7C7C" w:rsidP="001A5464">
            <w:pPr>
              <w:spacing w:after="200" w:line="276" w:lineRule="auto"/>
              <w:ind w:left="34" w:hanging="34"/>
            </w:pPr>
            <w:r w:rsidRPr="0043424F">
              <w:t>15</w:t>
            </w:r>
            <w:r w:rsidR="00E1763A" w:rsidRPr="00793612">
              <w:t>%</w:t>
            </w:r>
          </w:p>
        </w:tc>
      </w:tr>
    </w:tbl>
    <w:p w:rsidR="00E1763A" w:rsidRDefault="00E1763A" w:rsidP="00E1763A">
      <w:pPr>
        <w:pStyle w:val="Cmsor4"/>
      </w:pPr>
      <w:r>
        <w:t xml:space="preserve">Alap-, mester vagy osztatlan </w:t>
      </w:r>
      <w:r w:rsidRPr="007B28C9">
        <w:t>mesterképzések</w:t>
      </w:r>
      <w:r>
        <w:t xml:space="preserve"> kiválasztási szempontjai és súlyuk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1763A" w:rsidTr="001A5464">
        <w:tc>
          <w:tcPr>
            <w:tcW w:w="7479" w:type="dxa"/>
          </w:tcPr>
          <w:p w:rsidR="00E1763A" w:rsidRPr="00405918" w:rsidRDefault="00E1763A" w:rsidP="001A5464">
            <w:r w:rsidRPr="00405918">
              <w:t xml:space="preserve">Első és második helyen megjelölt jelentkezések aránya a Stipendium Hungaricum 2016/17-es ösztöndíjas felhívásában (második helyen történt jelölések aránya 50 %-os súllyal beszámítható) </w:t>
            </w:r>
          </w:p>
          <w:p w:rsidR="00E1763A" w:rsidRDefault="00E1763A" w:rsidP="001A5464">
            <w:r w:rsidRPr="00405918">
              <w:t>Új képzés esetén ezt a szempontot az intézményre vonatkozó arányból, új</w:t>
            </w:r>
            <w:r w:rsidR="003228E9">
              <w:t>onnan pályázó</w:t>
            </w:r>
            <w:r w:rsidRPr="00405918">
              <w:t xml:space="preserve"> intézmény képzése esetén az országos átlagot vesszük alapul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1206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Az idegen nyelvű képzés hazai és/vagy nemzetközi külső minőségbiztosítása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1206"/>
              <w:rPr>
                <w:b/>
              </w:rPr>
            </w:pPr>
            <w:r w:rsidRPr="008B0DA4">
              <w:rPr>
                <w:b/>
              </w:rPr>
              <w:t>15%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pPr>
              <w:ind w:left="567"/>
              <w:rPr>
                <w:i/>
              </w:rPr>
            </w:pPr>
            <w:r>
              <w:rPr>
                <w:i/>
              </w:rPr>
              <w:t>A képzés idegen nyelvű indítását a MAB támogatta</w:t>
            </w:r>
          </w:p>
          <w:p w:rsidR="003D6418" w:rsidRPr="00A04757" w:rsidRDefault="003D6418" w:rsidP="001124C9">
            <w:pPr>
              <w:ind w:left="142"/>
              <w:jc w:val="both"/>
              <w:rPr>
                <w:i/>
              </w:rPr>
            </w:pPr>
            <w:r w:rsidRPr="00571C81">
              <w:t xml:space="preserve">Felhívjuk figyelmüket, hogy ebben a pályázati körben a tartalmi értékelés során pontszámmal honoráljuk, ha az adott képzés idegen nyelvű indítását a MAB támogatta, de a következő pályázati szakaszban </w:t>
            </w:r>
            <w:r w:rsidR="00E879EA" w:rsidRPr="00571C81">
              <w:t xml:space="preserve">(a 2019/2020-ra és 2020/2021-es tanévre vonatkozó pályázati felhívásban) </w:t>
            </w:r>
            <w:proofErr w:type="gramStart"/>
            <w:r w:rsidR="00571C81" w:rsidRPr="00571C81">
              <w:t>ennek</w:t>
            </w:r>
            <w:proofErr w:type="gramEnd"/>
            <w:r w:rsidR="00571C81" w:rsidRPr="009D1492">
              <w:t xml:space="preserve"> szempontnak a súlya növekedni fog.</w:t>
            </w:r>
          </w:p>
        </w:tc>
        <w:tc>
          <w:tcPr>
            <w:tcW w:w="1701" w:type="dxa"/>
          </w:tcPr>
          <w:p w:rsidR="00E1763A" w:rsidRPr="00A04757" w:rsidRDefault="00E1763A" w:rsidP="001A5464">
            <w:pPr>
              <w:ind w:left="1206" w:hanging="888"/>
              <w:rPr>
                <w:i/>
              </w:rPr>
            </w:pPr>
            <w:r w:rsidRPr="00A04757">
              <w:rPr>
                <w:i/>
              </w:rPr>
              <w:t>5%</w:t>
            </w:r>
          </w:p>
        </w:tc>
      </w:tr>
      <w:tr w:rsidR="00E1763A" w:rsidTr="001A5464">
        <w:tc>
          <w:tcPr>
            <w:tcW w:w="7479" w:type="dxa"/>
          </w:tcPr>
          <w:p w:rsidR="00E1763A" w:rsidRPr="00A04757" w:rsidRDefault="00E1763A" w:rsidP="001A5464">
            <w:pPr>
              <w:ind w:left="567"/>
              <w:rPr>
                <w:i/>
              </w:rPr>
            </w:pPr>
            <w:r w:rsidRPr="00A04757">
              <w:rPr>
                <w:i/>
              </w:rPr>
              <w:t>Képzésre vonatkozó nemzetközi külső minőségbiztosítás</w:t>
            </w:r>
          </w:p>
        </w:tc>
        <w:tc>
          <w:tcPr>
            <w:tcW w:w="1701" w:type="dxa"/>
          </w:tcPr>
          <w:p w:rsidR="00E1763A" w:rsidRPr="00A04757" w:rsidRDefault="00E1763A" w:rsidP="001A5464">
            <w:pPr>
              <w:ind w:left="1206" w:hanging="888"/>
              <w:rPr>
                <w:i/>
              </w:rPr>
            </w:pPr>
            <w:r w:rsidRPr="00A04757">
              <w:rPr>
                <w:i/>
              </w:rPr>
              <w:t>10%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Az idegen nyelvű képzésen külföldi oktatási tapasztalattal rendelkező oktatók aránya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1206"/>
              <w:rPr>
                <w:b/>
              </w:rPr>
            </w:pPr>
            <w:r w:rsidRPr="008B0DA4">
              <w:rPr>
                <w:b/>
              </w:rPr>
              <w:t>25%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</w:t>
            </w:r>
            <w:r w:rsidR="00026404">
              <w:t>z</w:t>
            </w:r>
            <w:r>
              <w:t xml:space="preserve"> idegen nyelvű képzésein részt vevő külföldi hallgatók aránya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1206"/>
              <w:rPr>
                <w:b/>
              </w:rPr>
            </w:pPr>
            <w:r w:rsidRPr="008B0DA4">
              <w:rPr>
                <w:b/>
              </w:rPr>
              <w:t>30%</w:t>
            </w:r>
          </w:p>
        </w:tc>
      </w:tr>
      <w:tr w:rsidR="00E1763A" w:rsidRPr="00A04757" w:rsidTr="001A5464">
        <w:tc>
          <w:tcPr>
            <w:tcW w:w="7479" w:type="dxa"/>
          </w:tcPr>
          <w:p w:rsidR="00E1763A" w:rsidRPr="00A04757" w:rsidRDefault="00E1763A" w:rsidP="001A5464">
            <w:pPr>
              <w:ind w:left="567"/>
              <w:rPr>
                <w:i/>
              </w:rPr>
            </w:pPr>
            <w:r w:rsidRPr="00A04757">
              <w:rPr>
                <w:i/>
              </w:rPr>
              <w:t>Részképzés</w:t>
            </w:r>
            <w:r>
              <w:rPr>
                <w:i/>
              </w:rPr>
              <w:t>en a 2014/2015-ös tanévben</w:t>
            </w:r>
          </w:p>
        </w:tc>
        <w:tc>
          <w:tcPr>
            <w:tcW w:w="1701" w:type="dxa"/>
          </w:tcPr>
          <w:p w:rsidR="00E1763A" w:rsidRPr="00A04757" w:rsidRDefault="00E1763A" w:rsidP="001A5464">
            <w:pPr>
              <w:ind w:left="1206" w:hanging="888"/>
              <w:rPr>
                <w:i/>
              </w:rPr>
            </w:pPr>
            <w:r w:rsidRPr="00A04757">
              <w:rPr>
                <w:i/>
              </w:rPr>
              <w:t>10%</w:t>
            </w:r>
          </w:p>
        </w:tc>
      </w:tr>
      <w:tr w:rsidR="00E1763A" w:rsidRPr="00A04757" w:rsidTr="001A5464">
        <w:tc>
          <w:tcPr>
            <w:tcW w:w="7479" w:type="dxa"/>
          </w:tcPr>
          <w:p w:rsidR="00E1763A" w:rsidRPr="00A04757" w:rsidRDefault="00E1763A" w:rsidP="001A5464">
            <w:pPr>
              <w:ind w:left="567"/>
              <w:rPr>
                <w:i/>
              </w:rPr>
            </w:pPr>
            <w:r>
              <w:rPr>
                <w:i/>
              </w:rPr>
              <w:t>Teljes képzésen</w:t>
            </w:r>
            <w:r w:rsidRPr="00A04757">
              <w:rPr>
                <w:i/>
              </w:rPr>
              <w:t xml:space="preserve"> </w:t>
            </w:r>
            <w:r>
              <w:rPr>
                <w:i/>
              </w:rPr>
              <w:t>a 2015/16-os tanévben</w:t>
            </w:r>
          </w:p>
        </w:tc>
        <w:tc>
          <w:tcPr>
            <w:tcW w:w="1701" w:type="dxa"/>
          </w:tcPr>
          <w:p w:rsidR="00E1763A" w:rsidRPr="00A04757" w:rsidRDefault="00E1763A" w:rsidP="001A5464">
            <w:pPr>
              <w:ind w:left="1206" w:hanging="888"/>
              <w:rPr>
                <w:i/>
              </w:rPr>
            </w:pPr>
            <w:r w:rsidRPr="00A04757">
              <w:rPr>
                <w:i/>
              </w:rPr>
              <w:t>20%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Hallgatói elégedettség és teljesítmény az intézmény 2015/16-os alap-, mester vagy osztatlan mesterképzésein (2016 nyarán leadott SH hallgatói beszámolók alapján)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1206"/>
              <w:rPr>
                <w:b/>
              </w:rPr>
            </w:pPr>
            <w:r w:rsidRPr="008B0DA4">
              <w:rPr>
                <w:b/>
              </w:rPr>
              <w:t>15%</w:t>
            </w:r>
          </w:p>
        </w:tc>
      </w:tr>
      <w:tr w:rsidR="00E1763A" w:rsidTr="001A5464">
        <w:tc>
          <w:tcPr>
            <w:tcW w:w="7479" w:type="dxa"/>
          </w:tcPr>
          <w:p w:rsidR="00E1763A" w:rsidRPr="002A763D" w:rsidRDefault="00E1763A" w:rsidP="001A5464">
            <w:pPr>
              <w:ind w:left="567"/>
              <w:rPr>
                <w:i/>
              </w:rPr>
            </w:pPr>
            <w:r w:rsidRPr="002A763D">
              <w:rPr>
                <w:i/>
              </w:rPr>
              <w:t>A 2015/16-os képzéseken az intézményben tanuló SH ösztöndíjasok elégedettsége az országos SH elégedettségi átlag viszonylatában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888"/>
              <w:rPr>
                <w:i/>
              </w:rPr>
            </w:pPr>
            <w:r w:rsidRPr="008B0DA4">
              <w:rPr>
                <w:i/>
              </w:rPr>
              <w:t>10%</w:t>
            </w:r>
          </w:p>
        </w:tc>
      </w:tr>
      <w:tr w:rsidR="00E1763A" w:rsidTr="001A5464">
        <w:tc>
          <w:tcPr>
            <w:tcW w:w="7479" w:type="dxa"/>
          </w:tcPr>
          <w:p w:rsidR="00E1763A" w:rsidRPr="002A763D" w:rsidRDefault="00E1763A" w:rsidP="001A5464">
            <w:pPr>
              <w:ind w:left="567"/>
              <w:rPr>
                <w:i/>
              </w:rPr>
            </w:pPr>
            <w:r w:rsidRPr="002A763D">
              <w:rPr>
                <w:i/>
              </w:rPr>
              <w:t>A 2015/16-os képzést megkezdő SH hallgatók lemorzsolódásának aránya, vagy amennyiben az SH hallgatók száma kevesebb 10 főnél, akkor az intézmény összes</w:t>
            </w:r>
            <w:r>
              <w:rPr>
                <w:i/>
              </w:rPr>
              <w:t xml:space="preserve"> SH </w:t>
            </w:r>
            <w:r w:rsidRPr="002A763D">
              <w:rPr>
                <w:i/>
              </w:rPr>
              <w:t>hallgatójára vetített lemorzsolódási átlag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888"/>
              <w:rPr>
                <w:i/>
              </w:rPr>
            </w:pPr>
            <w:r w:rsidRPr="008B0DA4">
              <w:rPr>
                <w:i/>
              </w:rPr>
              <w:t>5%</w:t>
            </w:r>
          </w:p>
        </w:tc>
      </w:tr>
    </w:tbl>
    <w:p w:rsidR="00E1763A" w:rsidRDefault="00E1763A" w:rsidP="00E1763A">
      <w:pPr>
        <w:pStyle w:val="Cmsor4"/>
      </w:pPr>
      <w:r>
        <w:t>A doktori iskolák kiválasztási szempontjai és súlyuk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1763A" w:rsidTr="001A5464">
        <w:tc>
          <w:tcPr>
            <w:tcW w:w="7479" w:type="dxa"/>
          </w:tcPr>
          <w:p w:rsidR="00E1763A" w:rsidRPr="00405918" w:rsidRDefault="00E1763A" w:rsidP="001A5464">
            <w:r w:rsidRPr="00405918">
              <w:t xml:space="preserve">Első és második helyen megjelölt jelentkezések aránya a Stipendium Hungaricum 2016/17-es ösztöndíjas felhívásában (második helyen történt jelölések aránya 50 %-os súllyal beszámítható) </w:t>
            </w:r>
          </w:p>
          <w:p w:rsidR="00E1763A" w:rsidRDefault="00E1763A" w:rsidP="001A5464">
            <w:r w:rsidRPr="00405918">
              <w:t>Új képzés esetén ezt a szempontot az intézményre vonatkozó arányból, új intézmény képzése esetén az országos átlagot vesszük alapul</w:t>
            </w:r>
          </w:p>
        </w:tc>
        <w:tc>
          <w:tcPr>
            <w:tcW w:w="1701" w:type="dxa"/>
          </w:tcPr>
          <w:p w:rsidR="00E1763A" w:rsidRPr="005E47C3" w:rsidRDefault="00E1763A" w:rsidP="001A5464">
            <w:pPr>
              <w:ind w:left="1206" w:hanging="1206"/>
              <w:rPr>
                <w:b/>
              </w:rPr>
            </w:pPr>
            <w:r>
              <w:rPr>
                <w:b/>
              </w:rPr>
              <w:t>15</w:t>
            </w:r>
            <w:r w:rsidRPr="005E47C3">
              <w:rPr>
                <w:b/>
              </w:rPr>
              <w:t>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Az doktori iskolára vonatkozó nemzetközi külső minőségbiztosítás</w:t>
            </w:r>
          </w:p>
        </w:tc>
        <w:tc>
          <w:tcPr>
            <w:tcW w:w="1701" w:type="dxa"/>
          </w:tcPr>
          <w:p w:rsidR="00E1763A" w:rsidRPr="005E47C3" w:rsidRDefault="00E1763A" w:rsidP="001A5464">
            <w:pPr>
              <w:ind w:left="1206" w:hanging="1206"/>
              <w:rPr>
                <w:b/>
              </w:rPr>
            </w:pPr>
            <w:r w:rsidRPr="005E47C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E47C3">
              <w:rPr>
                <w:b/>
              </w:rPr>
              <w:t>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 doktori iskola külföldi oktatási vagy kutatási tapasztalattal rendelkező oktatók, kutatók aránya</w:t>
            </w:r>
          </w:p>
        </w:tc>
        <w:tc>
          <w:tcPr>
            <w:tcW w:w="1701" w:type="dxa"/>
          </w:tcPr>
          <w:p w:rsidR="00E1763A" w:rsidRPr="005E47C3" w:rsidRDefault="00E1763A" w:rsidP="001A5464">
            <w:pPr>
              <w:ind w:left="1206" w:hanging="1206"/>
              <w:rPr>
                <w:b/>
              </w:rPr>
            </w:pPr>
            <w:r>
              <w:rPr>
                <w:b/>
              </w:rPr>
              <w:t>35</w:t>
            </w:r>
            <w:r w:rsidRPr="005E47C3">
              <w:rPr>
                <w:b/>
              </w:rPr>
              <w:t>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A doktori iskola idegen nyelvű doktori védéseinek aránya 2015/16-os tanévben</w:t>
            </w:r>
          </w:p>
        </w:tc>
        <w:tc>
          <w:tcPr>
            <w:tcW w:w="1701" w:type="dxa"/>
          </w:tcPr>
          <w:p w:rsidR="00E1763A" w:rsidRPr="005E47C3" w:rsidRDefault="00E1763A" w:rsidP="001A5464">
            <w:pPr>
              <w:ind w:left="1206" w:hanging="1206"/>
              <w:rPr>
                <w:b/>
              </w:rPr>
            </w:pPr>
            <w:r w:rsidRPr="005E47C3">
              <w:rPr>
                <w:b/>
              </w:rPr>
              <w:t>20%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Doktoranduszi elégedettség és teljesítmény az intézmény 2015/16-os doktori iskoláiban (2016 nyarán leadott SH hallgatói beszámolók alapján)</w:t>
            </w:r>
          </w:p>
        </w:tc>
        <w:tc>
          <w:tcPr>
            <w:tcW w:w="1701" w:type="dxa"/>
          </w:tcPr>
          <w:p w:rsidR="00E1763A" w:rsidRPr="005E47C3" w:rsidRDefault="00E1763A" w:rsidP="001A5464">
            <w:pPr>
              <w:ind w:left="1206" w:hanging="1206"/>
              <w:rPr>
                <w:b/>
              </w:rPr>
            </w:pPr>
            <w:r w:rsidRPr="005E47C3">
              <w:rPr>
                <w:b/>
              </w:rPr>
              <w:t>15%</w:t>
            </w:r>
          </w:p>
        </w:tc>
      </w:tr>
      <w:tr w:rsidR="00E1763A" w:rsidTr="001A5464">
        <w:tc>
          <w:tcPr>
            <w:tcW w:w="7479" w:type="dxa"/>
          </w:tcPr>
          <w:p w:rsidR="00E1763A" w:rsidRPr="002A763D" w:rsidRDefault="00E1763A" w:rsidP="001A5464">
            <w:pPr>
              <w:ind w:left="567"/>
              <w:rPr>
                <w:i/>
              </w:rPr>
            </w:pPr>
            <w:r w:rsidRPr="002A763D">
              <w:rPr>
                <w:i/>
              </w:rPr>
              <w:lastRenderedPageBreak/>
              <w:t>A 2015/16-os képzéseken az intézményben tanuló SH ösztöndíjasok elégedettsége az országos SH elégedettségi átlag viszonylatában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888"/>
              <w:rPr>
                <w:i/>
              </w:rPr>
            </w:pPr>
            <w:r w:rsidRPr="008B0DA4">
              <w:rPr>
                <w:i/>
              </w:rPr>
              <w:t>10%</w:t>
            </w:r>
          </w:p>
        </w:tc>
      </w:tr>
      <w:tr w:rsidR="00E1763A" w:rsidTr="001A5464">
        <w:tc>
          <w:tcPr>
            <w:tcW w:w="7479" w:type="dxa"/>
          </w:tcPr>
          <w:p w:rsidR="00E1763A" w:rsidRPr="002A763D" w:rsidRDefault="00E1763A" w:rsidP="001A5464">
            <w:pPr>
              <w:ind w:left="567"/>
              <w:rPr>
                <w:i/>
              </w:rPr>
            </w:pPr>
            <w:r w:rsidRPr="002A763D">
              <w:rPr>
                <w:i/>
              </w:rPr>
              <w:t>A 2015/16-os képzést megkezdő SH hallgatók lemorzsolódásának aránya, vagy amennyiben az SH hallgatók száma kevesebb 10 főnél, akkor az intézmény összes</w:t>
            </w:r>
            <w:r>
              <w:rPr>
                <w:i/>
              </w:rPr>
              <w:t xml:space="preserve"> SH </w:t>
            </w:r>
            <w:r w:rsidRPr="002A763D">
              <w:rPr>
                <w:i/>
              </w:rPr>
              <w:t>hallgatójára vetített lemorzsolódási átlag</w:t>
            </w:r>
          </w:p>
        </w:tc>
        <w:tc>
          <w:tcPr>
            <w:tcW w:w="1701" w:type="dxa"/>
          </w:tcPr>
          <w:p w:rsidR="00E1763A" w:rsidRPr="008B0DA4" w:rsidRDefault="00E1763A" w:rsidP="001A5464">
            <w:pPr>
              <w:ind w:left="1206" w:hanging="888"/>
              <w:rPr>
                <w:i/>
              </w:rPr>
            </w:pPr>
            <w:r w:rsidRPr="008B0DA4">
              <w:rPr>
                <w:i/>
              </w:rPr>
              <w:t>5%</w:t>
            </w:r>
          </w:p>
        </w:tc>
      </w:tr>
    </w:tbl>
    <w:p w:rsidR="00E1763A" w:rsidRDefault="00E1763A" w:rsidP="00E1763A">
      <w:pPr>
        <w:pStyle w:val="Cmsor4"/>
      </w:pPr>
      <w:r>
        <w:t>A felsőoktatási előkészítő kiválasztási szempontjai és súlyuk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1763A" w:rsidTr="001A5464">
        <w:tc>
          <w:tcPr>
            <w:tcW w:w="7479" w:type="dxa"/>
          </w:tcPr>
          <w:p w:rsidR="00E1763A" w:rsidRDefault="00E1763A" w:rsidP="001A5464">
            <w:r>
              <w:t>A pályázó intézmény előkészítő képzések terén demonstrált tapasztalata</w:t>
            </w:r>
          </w:p>
        </w:tc>
        <w:tc>
          <w:tcPr>
            <w:tcW w:w="1701" w:type="dxa"/>
          </w:tcPr>
          <w:p w:rsidR="00E1763A" w:rsidRDefault="00E1763A" w:rsidP="001A5464">
            <w:pPr>
              <w:ind w:left="1206" w:hanging="1206"/>
            </w:pPr>
            <w:r>
              <w:t>10%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 xml:space="preserve">Nyelvoktatási és felsőoktatási előkészítő szempontok megjelenítése a pályázatban, szakmai tapasztalatok és konklúziók felhasználása, fejlesztő kezdeményezések </w:t>
            </w:r>
          </w:p>
        </w:tc>
        <w:tc>
          <w:tcPr>
            <w:tcW w:w="1701" w:type="dxa"/>
          </w:tcPr>
          <w:p w:rsidR="00E1763A" w:rsidRDefault="00E1763A" w:rsidP="001A5464">
            <w:pPr>
              <w:ind w:left="1206" w:hanging="1206"/>
            </w:pPr>
            <w:r>
              <w:t>40%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>Kulturális szempontok</w:t>
            </w:r>
          </w:p>
        </w:tc>
        <w:tc>
          <w:tcPr>
            <w:tcW w:w="1701" w:type="dxa"/>
          </w:tcPr>
          <w:p w:rsidR="00E1763A" w:rsidRDefault="00E1763A" w:rsidP="001A5464">
            <w:pPr>
              <w:ind w:left="1206" w:hanging="1206"/>
            </w:pPr>
            <w:r>
              <w:t>25%</w:t>
            </w:r>
          </w:p>
        </w:tc>
      </w:tr>
      <w:tr w:rsidR="00E1763A" w:rsidTr="001A5464">
        <w:tc>
          <w:tcPr>
            <w:tcW w:w="7479" w:type="dxa"/>
          </w:tcPr>
          <w:p w:rsidR="00E1763A" w:rsidRDefault="00E1763A" w:rsidP="001A5464">
            <w:r>
              <w:t xml:space="preserve">Az előkészítőben részt vevő oktatók tapasztalatának visszacsatolása az oktatói felkészítésbe és kiválasztásba </w:t>
            </w:r>
          </w:p>
        </w:tc>
        <w:tc>
          <w:tcPr>
            <w:tcW w:w="1701" w:type="dxa"/>
          </w:tcPr>
          <w:p w:rsidR="00E1763A" w:rsidRDefault="00E1763A" w:rsidP="001A5464">
            <w:pPr>
              <w:ind w:left="1206" w:hanging="1206"/>
            </w:pPr>
            <w:r>
              <w:t>25%</w:t>
            </w:r>
          </w:p>
        </w:tc>
      </w:tr>
    </w:tbl>
    <w:p w:rsidR="00E1763A" w:rsidRDefault="00E1763A" w:rsidP="00E1763A"/>
    <w:p w:rsidR="00B81344" w:rsidRPr="00730959" w:rsidRDefault="00B81344">
      <w:r w:rsidRPr="00730959">
        <w:rPr>
          <w:color w:val="000000"/>
        </w:rPr>
        <w:t xml:space="preserve">A támogatásról szóló végleges döntést a </w:t>
      </w:r>
      <w:r w:rsidR="007267F9">
        <w:rPr>
          <w:color w:val="000000"/>
        </w:rPr>
        <w:t>Tempus Közalapítvány</w:t>
      </w:r>
      <w:r w:rsidR="007267F9" w:rsidRPr="00730959">
        <w:rPr>
          <w:color w:val="000000"/>
        </w:rPr>
        <w:t xml:space="preserve"> </w:t>
      </w:r>
      <w:r w:rsidRPr="00730959">
        <w:rPr>
          <w:color w:val="000000"/>
        </w:rPr>
        <w:t>Kuratóriuma hozza meg</w:t>
      </w:r>
      <w:r w:rsidR="00131343" w:rsidRPr="00730959">
        <w:rPr>
          <w:color w:val="000000"/>
        </w:rPr>
        <w:t>.</w:t>
      </w:r>
    </w:p>
    <w:p w:rsidR="00B81344" w:rsidRDefault="00B81344" w:rsidP="00B81344">
      <w:pPr>
        <w:jc w:val="both"/>
      </w:pPr>
      <w:r w:rsidRPr="00FE5463">
        <w:rPr>
          <w:color w:val="000000"/>
        </w:rPr>
        <w:t xml:space="preserve">A </w:t>
      </w:r>
      <w:r w:rsidR="007267F9">
        <w:rPr>
          <w:color w:val="000000"/>
        </w:rPr>
        <w:t xml:space="preserve">Tempus Közalapítvány </w:t>
      </w:r>
      <w:r w:rsidRPr="00FE5463">
        <w:rPr>
          <w:color w:val="000000"/>
        </w:rPr>
        <w:t>pályázati programjaiban a döntések ellen – sem méltányossági, sem más alapon – fellebbezésre nincs lehetőség.</w:t>
      </w:r>
      <w:r>
        <w:rPr>
          <w:color w:val="000000"/>
        </w:rPr>
        <w:t xml:space="preserve"> Amennyiben eljárási hibát vélelmez a pályázó, </w:t>
      </w:r>
      <w:r w:rsidRPr="00A90943">
        <w:rPr>
          <w:color w:val="000000"/>
        </w:rPr>
        <w:t>panaszt</w:t>
      </w:r>
      <w:r>
        <w:rPr>
          <w:color w:val="000000"/>
        </w:rPr>
        <w:t xml:space="preserve"> nyújthat be a döntés ellen a </w:t>
      </w:r>
      <w:r w:rsidR="007267F9">
        <w:rPr>
          <w:color w:val="000000"/>
        </w:rPr>
        <w:t>Tempus Közalapítvány</w:t>
      </w:r>
      <w:r>
        <w:rPr>
          <w:color w:val="000000"/>
        </w:rPr>
        <w:t xml:space="preserve"> címére. A </w:t>
      </w:r>
      <w:r w:rsidR="007267F9">
        <w:rPr>
          <w:color w:val="000000"/>
        </w:rPr>
        <w:t>Tempus Közalapítvány</w:t>
      </w:r>
      <w:r>
        <w:rPr>
          <w:color w:val="000000"/>
        </w:rPr>
        <w:t xml:space="preserve"> panaszkezelési szabályzatának megfelelően a beérkezett panasz kivizsgálásra kerül, és 30 napon belül írásos választ ad a </w:t>
      </w:r>
      <w:r w:rsidR="007267F9">
        <w:rPr>
          <w:color w:val="000000"/>
        </w:rPr>
        <w:t xml:space="preserve">Tempus Közalapítvány </w:t>
      </w:r>
      <w:r>
        <w:rPr>
          <w:color w:val="000000"/>
        </w:rPr>
        <w:t>a pályázónak.</w:t>
      </w:r>
    </w:p>
    <w:p w:rsidR="00312DC9" w:rsidRPr="00B927E5" w:rsidRDefault="00B927E5" w:rsidP="00E03637">
      <w:pPr>
        <w:pStyle w:val="Cmsor1"/>
      </w:pPr>
      <w:bookmarkStart w:id="21" w:name="_Toc461010591"/>
      <w:r w:rsidRPr="00B927E5">
        <w:t>Intézményi m</w:t>
      </w:r>
      <w:r w:rsidR="00312DC9" w:rsidRPr="00B927E5">
        <w:t>egállapodás</w:t>
      </w:r>
      <w:bookmarkEnd w:id="21"/>
    </w:p>
    <w:p w:rsidR="00B927E5" w:rsidRDefault="00B927E5" w:rsidP="00C23569">
      <w:pPr>
        <w:jc w:val="both"/>
      </w:pPr>
      <w:r>
        <w:t>A Tempus Közalapítvány a pályázaton sikeresen szereplő intézmények</w:t>
      </w:r>
      <w:r w:rsidR="00F36215">
        <w:t xml:space="preserve">kel </w:t>
      </w:r>
      <w:r>
        <w:t>megállapodás</w:t>
      </w:r>
      <w:r w:rsidR="00007703">
        <w:t>t köt, melynek</w:t>
      </w:r>
      <w:r>
        <w:t xml:space="preserve"> mintáját a Közalapítvány </w:t>
      </w:r>
      <w:r w:rsidR="00007703">
        <w:t xml:space="preserve">2016 </w:t>
      </w:r>
      <w:r w:rsidR="00E25820">
        <w:t xml:space="preserve">decemberében </w:t>
      </w:r>
      <w:r>
        <w:t>teszi közzé honlapján.</w:t>
      </w:r>
    </w:p>
    <w:p w:rsidR="00312DC9" w:rsidRPr="00B927E5" w:rsidRDefault="00312DC9" w:rsidP="00E03637">
      <w:pPr>
        <w:pStyle w:val="Cmsor1"/>
      </w:pPr>
      <w:bookmarkStart w:id="22" w:name="_Toc461010592"/>
      <w:r w:rsidRPr="00B927E5">
        <w:t>A pályázat benyújtása</w:t>
      </w:r>
      <w:bookmarkEnd w:id="22"/>
    </w:p>
    <w:p w:rsidR="00B927E5" w:rsidRPr="009743C7" w:rsidRDefault="00D07338" w:rsidP="00312DC9">
      <w:pPr>
        <w:rPr>
          <w:b/>
        </w:rPr>
      </w:pPr>
      <w:r w:rsidRPr="009743C7">
        <w:rPr>
          <w:b/>
        </w:rPr>
        <w:t xml:space="preserve">A pályázatot benyújtani elektronikusan lehet a </w:t>
      </w:r>
      <w:hyperlink r:id="rId15" w:history="1">
        <w:r w:rsidR="00C35B96" w:rsidRPr="009743C7">
          <w:rPr>
            <w:rStyle w:val="Hiperhivatkozs"/>
            <w:b/>
          </w:rPr>
          <w:t>www.stipendiumhungaricum.hu/intezmenyipalyazat</w:t>
        </w:r>
      </w:hyperlink>
      <w:r w:rsidR="00C35B96" w:rsidRPr="009743C7">
        <w:rPr>
          <w:b/>
        </w:rPr>
        <w:t xml:space="preserve"> </w:t>
      </w:r>
      <w:r w:rsidR="002A2BEB" w:rsidRPr="009743C7">
        <w:rPr>
          <w:b/>
        </w:rPr>
        <w:t xml:space="preserve">oldalon, </w:t>
      </w:r>
      <w:r w:rsidR="00C23569" w:rsidRPr="009743C7">
        <w:rPr>
          <w:b/>
        </w:rPr>
        <w:t>201</w:t>
      </w:r>
      <w:r w:rsidR="00601195" w:rsidRPr="009743C7">
        <w:rPr>
          <w:b/>
        </w:rPr>
        <w:t>6</w:t>
      </w:r>
      <w:r w:rsidR="00C23569" w:rsidRPr="009743C7">
        <w:rPr>
          <w:b/>
        </w:rPr>
        <w:t xml:space="preserve">. </w:t>
      </w:r>
      <w:r w:rsidR="00E25820" w:rsidRPr="009743C7">
        <w:rPr>
          <w:b/>
        </w:rPr>
        <w:t>október 14.</w:t>
      </w:r>
      <w:r w:rsidRPr="009743C7">
        <w:rPr>
          <w:b/>
        </w:rPr>
        <w:t xml:space="preserve"> 12:00-ig.</w:t>
      </w:r>
      <w:r w:rsidR="00AE6C8B" w:rsidRPr="009743C7">
        <w:rPr>
          <w:b/>
        </w:rPr>
        <w:t xml:space="preserve"> A pályázati határidő jogvesztő jellegű.</w:t>
      </w:r>
    </w:p>
    <w:p w:rsidR="00D07338" w:rsidRDefault="00D07338" w:rsidP="00312DC9">
      <w:r w:rsidRPr="00BC67A3">
        <w:t xml:space="preserve">A pályázattal kapcsolatos kérdéseket a </w:t>
      </w:r>
      <w:hyperlink r:id="rId16" w:history="1">
        <w:r w:rsidRPr="00BC67A3">
          <w:rPr>
            <w:rStyle w:val="Hiperhivatkozs"/>
          </w:rPr>
          <w:t>shkepzes@tpf.hu</w:t>
        </w:r>
      </w:hyperlink>
      <w:r w:rsidRPr="00BC67A3">
        <w:t xml:space="preserve"> e-mail címen tehetik</w:t>
      </w:r>
      <w:r>
        <w:t xml:space="preserve"> fel.</w:t>
      </w:r>
    </w:p>
    <w:p w:rsidR="004508CD" w:rsidRPr="00B81344" w:rsidRDefault="004508CD" w:rsidP="004508CD">
      <w:pPr>
        <w:pStyle w:val="Cmsor1"/>
      </w:pPr>
      <w:bookmarkStart w:id="23" w:name="_Toc414873536"/>
      <w:bookmarkStart w:id="24" w:name="_Toc461010593"/>
      <w:r w:rsidRPr="00B81344">
        <w:t>Adatvédelem</w:t>
      </w:r>
      <w:bookmarkEnd w:id="23"/>
      <w:bookmarkEnd w:id="24"/>
    </w:p>
    <w:p w:rsidR="004508CD" w:rsidRPr="009E7F6E" w:rsidRDefault="004508CD" w:rsidP="005D6412">
      <w:pPr>
        <w:jc w:val="both"/>
        <w:rPr>
          <w:color w:val="000000"/>
        </w:rPr>
      </w:pPr>
      <w:r>
        <w:rPr>
          <w:color w:val="000000"/>
        </w:rPr>
        <w:t>A pál</w:t>
      </w:r>
      <w:r w:rsidRPr="009E7F6E">
        <w:rPr>
          <w:color w:val="000000"/>
        </w:rPr>
        <w:t>y</w:t>
      </w:r>
      <w:r>
        <w:rPr>
          <w:color w:val="000000"/>
        </w:rPr>
        <w:t>ázó tudomásul veszi az adatvédelem kezelésével kapcsolatos alábbi eljárást.</w:t>
      </w:r>
    </w:p>
    <w:p w:rsidR="004508CD" w:rsidRPr="008B7D90" w:rsidRDefault="004508CD" w:rsidP="005D6412">
      <w:pPr>
        <w:autoSpaceDE w:val="0"/>
        <w:autoSpaceDN w:val="0"/>
        <w:adjustRightInd w:val="0"/>
        <w:jc w:val="both"/>
      </w:pPr>
      <w:r>
        <w:t>A</w:t>
      </w:r>
      <w:r w:rsidRPr="008B7D90">
        <w:t xml:space="preserve"> pályázati űrlap feldolgozása személyes adatok feldolgozását és kezelését is magában foglalja. Az adatkezelés folyamata megfelel</w:t>
      </w:r>
      <w:r>
        <w:t xml:space="preserve"> a magyar jogszabályoknak</w:t>
      </w:r>
      <w:r w:rsidRPr="008B7D90">
        <w:t xml:space="preserve"> (2011. évi CXII. törvény)</w:t>
      </w:r>
      <w:r>
        <w:t>.</w:t>
      </w:r>
    </w:p>
    <w:p w:rsidR="004508CD" w:rsidRPr="008B7D90" w:rsidRDefault="004508CD" w:rsidP="005D6412">
      <w:pPr>
        <w:autoSpaceDE w:val="0"/>
        <w:autoSpaceDN w:val="0"/>
        <w:adjustRightInd w:val="0"/>
        <w:jc w:val="both"/>
      </w:pPr>
      <w:r w:rsidRPr="008B7D90">
        <w:t xml:space="preserve">A pályázati űrlap benyújtásával a pályázó hozzájárul, hogy a </w:t>
      </w:r>
      <w:r>
        <w:t>Tempus Közalapítvány</w:t>
      </w:r>
      <w:r w:rsidRPr="008B7D90">
        <w:t xml:space="preserve"> a pályázatban megadott adatokat (beleértve a személyes adatokat is) kezelje.</w:t>
      </w:r>
    </w:p>
    <w:p w:rsidR="004508CD" w:rsidRPr="008B7D90" w:rsidRDefault="004508CD" w:rsidP="005D6412">
      <w:pPr>
        <w:autoSpaceDE w:val="0"/>
        <w:autoSpaceDN w:val="0"/>
        <w:adjustRightInd w:val="0"/>
        <w:jc w:val="both"/>
      </w:pPr>
      <w:r w:rsidRPr="008B7D90">
        <w:t xml:space="preserve">A személyes adatokat kizárólag </w:t>
      </w:r>
      <w:r>
        <w:t xml:space="preserve">a program </w:t>
      </w:r>
      <w:r w:rsidRPr="008B7D90">
        <w:t xml:space="preserve">szerződéseinek megvalósulásával és </w:t>
      </w:r>
      <w:r>
        <w:t xml:space="preserve">nyomon </w:t>
      </w:r>
      <w:r w:rsidRPr="008B7D90">
        <w:t xml:space="preserve">követésével kapcsolatban </w:t>
      </w:r>
      <w:r>
        <w:t xml:space="preserve">a Tempus Közalapítvány </w:t>
      </w:r>
      <w:r w:rsidRPr="008B7D90">
        <w:t>használj</w:t>
      </w:r>
      <w:r>
        <w:t>a</w:t>
      </w:r>
      <w:r w:rsidRPr="008B7D90">
        <w:t xml:space="preserve"> fel, meghatározott céllal, melyek:</w:t>
      </w:r>
    </w:p>
    <w:p w:rsidR="004508CD" w:rsidRPr="005C07FA" w:rsidRDefault="004508CD" w:rsidP="004508C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1030"/>
        <w:contextualSpacing w:val="0"/>
        <w:jc w:val="both"/>
      </w:pPr>
      <w:r w:rsidRPr="005C07FA">
        <w:lastRenderedPageBreak/>
        <w:t xml:space="preserve">a pályázati űrlapok esetében: </w:t>
      </w:r>
      <w:r>
        <w:t>a pályázat</w:t>
      </w:r>
      <w:r w:rsidRPr="005C07FA">
        <w:t xml:space="preserve"> értékelése során a felhívásban foglaltaknak való megfelelés vizsgálata.</w:t>
      </w:r>
    </w:p>
    <w:p w:rsidR="004508CD" w:rsidRPr="005C07FA" w:rsidRDefault="004508CD" w:rsidP="005D64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</w:pPr>
      <w:r w:rsidRPr="005C07FA">
        <w:t xml:space="preserve">a beszámoló nyomtatványok esetében: </w:t>
      </w:r>
      <w:r>
        <w:t>a</w:t>
      </w:r>
      <w:r w:rsidRPr="005C07FA">
        <w:t xml:space="preserve"> </w:t>
      </w:r>
      <w:r>
        <w:t>pályáza</w:t>
      </w:r>
      <w:r w:rsidRPr="005C07FA">
        <w:t>t statisztikai és pénzügyi nyomon követése.</w:t>
      </w:r>
    </w:p>
    <w:p w:rsidR="004508CD" w:rsidRDefault="004508CD" w:rsidP="005D64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</w:pPr>
      <w:r>
        <w:t xml:space="preserve">a pályázatok és beszámolók adatainak felhasználása: a Tempus Közalapítvány jelentéstételi, adatszolgáltatási kötelezettségeinek teljesítése során, a külső szervek által lefolytatott ellenőrzések esetén a Tempus Közalapítványnak betekintést kell engedni </w:t>
      </w:r>
      <w:proofErr w:type="gramStart"/>
      <w:r>
        <w:t>ezen</w:t>
      </w:r>
      <w:proofErr w:type="gramEnd"/>
      <w:r>
        <w:t xml:space="preserve"> dokumentumokba/adatokba az ellenőrzésre jogosult szervek részére.</w:t>
      </w:r>
    </w:p>
    <w:p w:rsidR="004508CD" w:rsidRPr="005C07FA" w:rsidRDefault="004508CD" w:rsidP="005D64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</w:pPr>
      <w:r>
        <w:t xml:space="preserve">a program eredményeinek </w:t>
      </w:r>
      <w:proofErr w:type="spellStart"/>
      <w:r>
        <w:t>disszeminációja</w:t>
      </w:r>
      <w:proofErr w:type="spellEnd"/>
      <w:r>
        <w:t>, értékelése és kutatása céljából.</w:t>
      </w:r>
    </w:p>
    <w:p w:rsidR="004508CD" w:rsidRPr="008B7D90" w:rsidRDefault="004508CD" w:rsidP="005D6412">
      <w:pPr>
        <w:autoSpaceDE w:val="0"/>
        <w:autoSpaceDN w:val="0"/>
        <w:adjustRightInd w:val="0"/>
        <w:jc w:val="both"/>
      </w:pPr>
      <w:r w:rsidRPr="008B7D90">
        <w:t xml:space="preserve">A pályázó jogosult arra, hogy </w:t>
      </w:r>
      <w:proofErr w:type="gramStart"/>
      <w:r>
        <w:t xml:space="preserve">– </w:t>
      </w:r>
      <w:r w:rsidRPr="008B7D90">
        <w:t xml:space="preserve"> írásos</w:t>
      </w:r>
      <w:proofErr w:type="gramEnd"/>
      <w:r w:rsidRPr="008B7D90">
        <w:t xml:space="preserve"> kérése alapján</w:t>
      </w:r>
      <w:r>
        <w:t xml:space="preserve"> -– </w:t>
      </w:r>
      <w:r w:rsidRPr="008B7D90">
        <w:t xml:space="preserve">a </w:t>
      </w:r>
      <w:r>
        <w:t>Tempus Közalapítvány</w:t>
      </w:r>
      <w:r w:rsidRPr="008B7D90">
        <w:t xml:space="preserve"> által kezelt személyes adatait megismerje és helyesbítse</w:t>
      </w:r>
      <w:r>
        <w:t>,</w:t>
      </w:r>
      <w:r w:rsidRPr="008B7D90">
        <w:t xml:space="preserve"> amennyiben az adatok pontatlanok vagy hiányosak.</w:t>
      </w:r>
    </w:p>
    <w:p w:rsidR="004508CD" w:rsidRDefault="004508CD" w:rsidP="005D6412">
      <w:pPr>
        <w:autoSpaceDE w:val="0"/>
        <w:autoSpaceDN w:val="0"/>
        <w:adjustRightInd w:val="0"/>
        <w:jc w:val="both"/>
      </w:pPr>
      <w:r w:rsidRPr="008B7D90">
        <w:t>Minden</w:t>
      </w:r>
      <w:r>
        <w:t>,</w:t>
      </w:r>
      <w:r w:rsidRPr="008B7D90">
        <w:t xml:space="preserve"> a személyes adatokra vonatkozó kérést a </w:t>
      </w:r>
      <w:r>
        <w:t>Tempus Közalapítványhoz</w:t>
      </w:r>
      <w:r w:rsidRPr="008B7D90">
        <w:t xml:space="preserve"> kell címezni. A pályázónak jogában áll az Alapvető Jogok Biztosának Hivatalához (</w:t>
      </w:r>
      <w:hyperlink r:id="rId17" w:history="1">
        <w:r w:rsidRPr="00F32E52">
          <w:rPr>
            <w:rStyle w:val="Hiperhivatkozs"/>
          </w:rPr>
          <w:t>www.ajbh.hu</w:t>
        </w:r>
      </w:hyperlink>
      <w:r>
        <w:t xml:space="preserve">) </w:t>
      </w:r>
      <w:r w:rsidRPr="008B7D90">
        <w:t xml:space="preserve">fordulni a személyes adatainak </w:t>
      </w:r>
      <w:proofErr w:type="gramStart"/>
      <w:r w:rsidRPr="008B7D90">
        <w:t>kezelésével</w:t>
      </w:r>
      <w:proofErr w:type="gramEnd"/>
      <w:r w:rsidRPr="008B7D90">
        <w:t xml:space="preserve"> kapcsolatos panaszaival, észrevételeivel.</w:t>
      </w:r>
    </w:p>
    <w:p w:rsidR="00312DC9" w:rsidRPr="00382663" w:rsidRDefault="00312DC9" w:rsidP="00E03637">
      <w:pPr>
        <w:pStyle w:val="Cmsor1"/>
      </w:pPr>
      <w:bookmarkStart w:id="25" w:name="_Toc461010594"/>
      <w:r w:rsidRPr="00382663">
        <w:t>Mellékletek</w:t>
      </w:r>
      <w:bookmarkEnd w:id="25"/>
    </w:p>
    <w:p w:rsidR="003C5C46" w:rsidRDefault="00382663" w:rsidP="003C5C46">
      <w:r>
        <w:t>Űrlap</w:t>
      </w:r>
      <w:r w:rsidR="00C23569">
        <w:t xml:space="preserve"> minta</w:t>
      </w:r>
      <w:r w:rsidR="007B5286">
        <w:t xml:space="preserve">: </w:t>
      </w:r>
      <w:r w:rsidR="003C5C46" w:rsidRPr="003C5C46">
        <w:t>Stipendium Hungaricum intézményi pályázati űrlap képzések indításához</w:t>
      </w:r>
      <w:r w:rsidR="003C5C46">
        <w:t xml:space="preserve"> </w:t>
      </w:r>
      <w:r w:rsidR="003C5C46" w:rsidRPr="003C5C46">
        <w:t>2017/18-as és a 2018/19-es tanévre</w:t>
      </w:r>
    </w:p>
    <w:p w:rsidR="00987612" w:rsidRPr="003C5C46" w:rsidRDefault="00987612" w:rsidP="003C5C46">
      <w:r>
        <w:t>Intézményi pénzügyi elszámolás minta</w:t>
      </w:r>
    </w:p>
    <w:p w:rsidR="00FC61B6" w:rsidRDefault="00FC61B6"/>
    <w:sectPr w:rsidR="00FC61B6" w:rsidSect="00620E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A5" w:rsidRDefault="005468A5" w:rsidP="006D30E8">
      <w:pPr>
        <w:spacing w:after="0" w:line="240" w:lineRule="auto"/>
      </w:pPr>
      <w:r>
        <w:separator/>
      </w:r>
    </w:p>
  </w:endnote>
  <w:endnote w:type="continuationSeparator" w:id="0">
    <w:p w:rsidR="005468A5" w:rsidRDefault="005468A5" w:rsidP="006D30E8">
      <w:pPr>
        <w:spacing w:after="0" w:line="240" w:lineRule="auto"/>
      </w:pPr>
      <w:r>
        <w:continuationSeparator/>
      </w:r>
    </w:p>
  </w:endnote>
  <w:endnote w:type="continuationNotice" w:id="1">
    <w:p w:rsidR="005468A5" w:rsidRDefault="00546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002160"/>
      <w:docPartObj>
        <w:docPartGallery w:val="Page Numbers (Bottom of Page)"/>
        <w:docPartUnique/>
      </w:docPartObj>
    </w:sdtPr>
    <w:sdtEndPr/>
    <w:sdtContent>
      <w:p w:rsidR="00BC6F92" w:rsidRDefault="00BC6F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C7">
          <w:rPr>
            <w:noProof/>
          </w:rPr>
          <w:t>6</w:t>
        </w:r>
        <w:r>
          <w:fldChar w:fldCharType="end"/>
        </w:r>
      </w:p>
    </w:sdtContent>
  </w:sdt>
  <w:p w:rsidR="00BC6F92" w:rsidRDefault="00BC6F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A5" w:rsidRDefault="005468A5" w:rsidP="006D30E8">
      <w:pPr>
        <w:spacing w:after="0" w:line="240" w:lineRule="auto"/>
      </w:pPr>
      <w:r>
        <w:separator/>
      </w:r>
    </w:p>
  </w:footnote>
  <w:footnote w:type="continuationSeparator" w:id="0">
    <w:p w:rsidR="005468A5" w:rsidRDefault="005468A5" w:rsidP="006D30E8">
      <w:pPr>
        <w:spacing w:after="0" w:line="240" w:lineRule="auto"/>
      </w:pPr>
      <w:r>
        <w:continuationSeparator/>
      </w:r>
    </w:p>
  </w:footnote>
  <w:footnote w:type="continuationNotice" w:id="1">
    <w:p w:rsidR="005468A5" w:rsidRDefault="00546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92" w:rsidRDefault="00BC6F92" w:rsidP="00C35B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8CC"/>
    <w:multiLevelType w:val="hybridMultilevel"/>
    <w:tmpl w:val="8A741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E55"/>
    <w:multiLevelType w:val="hybridMultilevel"/>
    <w:tmpl w:val="30269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83E"/>
    <w:multiLevelType w:val="hybridMultilevel"/>
    <w:tmpl w:val="2272CA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031D"/>
    <w:multiLevelType w:val="hybridMultilevel"/>
    <w:tmpl w:val="5F2EF5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643495"/>
    <w:multiLevelType w:val="hybridMultilevel"/>
    <w:tmpl w:val="F880D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9DC"/>
    <w:multiLevelType w:val="hybridMultilevel"/>
    <w:tmpl w:val="7E24B1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438CC"/>
    <w:multiLevelType w:val="hybridMultilevel"/>
    <w:tmpl w:val="46466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3279"/>
    <w:multiLevelType w:val="hybridMultilevel"/>
    <w:tmpl w:val="2A14A07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335C56"/>
    <w:multiLevelType w:val="hybridMultilevel"/>
    <w:tmpl w:val="3C421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0258"/>
    <w:multiLevelType w:val="hybridMultilevel"/>
    <w:tmpl w:val="4B94C2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0FC7"/>
    <w:multiLevelType w:val="hybridMultilevel"/>
    <w:tmpl w:val="EEF4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4E07"/>
    <w:multiLevelType w:val="hybridMultilevel"/>
    <w:tmpl w:val="2AA0B73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0A584C"/>
    <w:multiLevelType w:val="hybridMultilevel"/>
    <w:tmpl w:val="62968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3572"/>
    <w:multiLevelType w:val="hybridMultilevel"/>
    <w:tmpl w:val="2CE236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3A"/>
    <w:rsid w:val="00002145"/>
    <w:rsid w:val="00003F64"/>
    <w:rsid w:val="000059FA"/>
    <w:rsid w:val="00007703"/>
    <w:rsid w:val="00014672"/>
    <w:rsid w:val="00026404"/>
    <w:rsid w:val="00033910"/>
    <w:rsid w:val="00037C07"/>
    <w:rsid w:val="0004624B"/>
    <w:rsid w:val="0005163C"/>
    <w:rsid w:val="00064FE4"/>
    <w:rsid w:val="00065830"/>
    <w:rsid w:val="000A7B46"/>
    <w:rsid w:val="000B121A"/>
    <w:rsid w:val="000C3319"/>
    <w:rsid w:val="000E3F73"/>
    <w:rsid w:val="000E4940"/>
    <w:rsid w:val="000F06C0"/>
    <w:rsid w:val="000F0B0D"/>
    <w:rsid w:val="000F4FFA"/>
    <w:rsid w:val="001124C9"/>
    <w:rsid w:val="00113B6C"/>
    <w:rsid w:val="00121F07"/>
    <w:rsid w:val="00125915"/>
    <w:rsid w:val="00125D75"/>
    <w:rsid w:val="00131343"/>
    <w:rsid w:val="001343F8"/>
    <w:rsid w:val="001602A1"/>
    <w:rsid w:val="0016213F"/>
    <w:rsid w:val="00173CBC"/>
    <w:rsid w:val="00184A85"/>
    <w:rsid w:val="001852E2"/>
    <w:rsid w:val="00185395"/>
    <w:rsid w:val="00194C90"/>
    <w:rsid w:val="001A5464"/>
    <w:rsid w:val="001A5D94"/>
    <w:rsid w:val="001B28B4"/>
    <w:rsid w:val="001C4456"/>
    <w:rsid w:val="001D3C2D"/>
    <w:rsid w:val="001E28CE"/>
    <w:rsid w:val="001E3896"/>
    <w:rsid w:val="001E40A3"/>
    <w:rsid w:val="001E6CB1"/>
    <w:rsid w:val="001F0A03"/>
    <w:rsid w:val="001F7C7C"/>
    <w:rsid w:val="002002F2"/>
    <w:rsid w:val="00201A76"/>
    <w:rsid w:val="0021261B"/>
    <w:rsid w:val="00215B21"/>
    <w:rsid w:val="00216A50"/>
    <w:rsid w:val="002176E0"/>
    <w:rsid w:val="00222494"/>
    <w:rsid w:val="00222E99"/>
    <w:rsid w:val="0023109F"/>
    <w:rsid w:val="002312D1"/>
    <w:rsid w:val="002340BA"/>
    <w:rsid w:val="00237611"/>
    <w:rsid w:val="0025068B"/>
    <w:rsid w:val="00260B0D"/>
    <w:rsid w:val="00260B37"/>
    <w:rsid w:val="002839B7"/>
    <w:rsid w:val="00283F87"/>
    <w:rsid w:val="00297F0E"/>
    <w:rsid w:val="002A2BEB"/>
    <w:rsid w:val="002C01CC"/>
    <w:rsid w:val="002C1A55"/>
    <w:rsid w:val="002C5D9E"/>
    <w:rsid w:val="002D2C8B"/>
    <w:rsid w:val="002F123A"/>
    <w:rsid w:val="002F1359"/>
    <w:rsid w:val="002F5966"/>
    <w:rsid w:val="00301A28"/>
    <w:rsid w:val="003063AE"/>
    <w:rsid w:val="003078B2"/>
    <w:rsid w:val="003112BE"/>
    <w:rsid w:val="00312DC9"/>
    <w:rsid w:val="003152B5"/>
    <w:rsid w:val="003158A1"/>
    <w:rsid w:val="00317BDC"/>
    <w:rsid w:val="0032133E"/>
    <w:rsid w:val="003228E9"/>
    <w:rsid w:val="00336199"/>
    <w:rsid w:val="00336C63"/>
    <w:rsid w:val="00350586"/>
    <w:rsid w:val="00363802"/>
    <w:rsid w:val="00364F7A"/>
    <w:rsid w:val="00365C9A"/>
    <w:rsid w:val="00382663"/>
    <w:rsid w:val="00385381"/>
    <w:rsid w:val="003A49F1"/>
    <w:rsid w:val="003B091E"/>
    <w:rsid w:val="003B1990"/>
    <w:rsid w:val="003C0A72"/>
    <w:rsid w:val="003C0A88"/>
    <w:rsid w:val="003C3EBE"/>
    <w:rsid w:val="003C5C46"/>
    <w:rsid w:val="003C7782"/>
    <w:rsid w:val="003D6418"/>
    <w:rsid w:val="003D6B3F"/>
    <w:rsid w:val="003E425F"/>
    <w:rsid w:val="0041412F"/>
    <w:rsid w:val="0041539A"/>
    <w:rsid w:val="004204A2"/>
    <w:rsid w:val="00430F39"/>
    <w:rsid w:val="0043424F"/>
    <w:rsid w:val="00447E22"/>
    <w:rsid w:val="00450530"/>
    <w:rsid w:val="004508CD"/>
    <w:rsid w:val="00464D76"/>
    <w:rsid w:val="00472E78"/>
    <w:rsid w:val="00483EB6"/>
    <w:rsid w:val="004A0925"/>
    <w:rsid w:val="004A7A52"/>
    <w:rsid w:val="004C63E0"/>
    <w:rsid w:val="004C7C2B"/>
    <w:rsid w:val="004D0E47"/>
    <w:rsid w:val="004D1964"/>
    <w:rsid w:val="004D67A0"/>
    <w:rsid w:val="004E0689"/>
    <w:rsid w:val="004E1FDC"/>
    <w:rsid w:val="004E5239"/>
    <w:rsid w:val="004F41AD"/>
    <w:rsid w:val="0050193F"/>
    <w:rsid w:val="0050681C"/>
    <w:rsid w:val="00511A92"/>
    <w:rsid w:val="005202E9"/>
    <w:rsid w:val="00521B5F"/>
    <w:rsid w:val="00522A96"/>
    <w:rsid w:val="00530449"/>
    <w:rsid w:val="005346D0"/>
    <w:rsid w:val="005377CE"/>
    <w:rsid w:val="0054137E"/>
    <w:rsid w:val="00542A91"/>
    <w:rsid w:val="00543E2E"/>
    <w:rsid w:val="005468A5"/>
    <w:rsid w:val="00550E9D"/>
    <w:rsid w:val="005554F5"/>
    <w:rsid w:val="00565D01"/>
    <w:rsid w:val="00571C81"/>
    <w:rsid w:val="0057436C"/>
    <w:rsid w:val="00575CC7"/>
    <w:rsid w:val="005846EF"/>
    <w:rsid w:val="00596EAD"/>
    <w:rsid w:val="005A0E7B"/>
    <w:rsid w:val="005A4575"/>
    <w:rsid w:val="005A4B73"/>
    <w:rsid w:val="005B21D2"/>
    <w:rsid w:val="005C61FB"/>
    <w:rsid w:val="005D3A3F"/>
    <w:rsid w:val="005D594E"/>
    <w:rsid w:val="005D6056"/>
    <w:rsid w:val="005D6412"/>
    <w:rsid w:val="005D6544"/>
    <w:rsid w:val="00601195"/>
    <w:rsid w:val="00602587"/>
    <w:rsid w:val="0061391E"/>
    <w:rsid w:val="006171CD"/>
    <w:rsid w:val="00620E49"/>
    <w:rsid w:val="0064084E"/>
    <w:rsid w:val="00644F6F"/>
    <w:rsid w:val="00646618"/>
    <w:rsid w:val="00651DCB"/>
    <w:rsid w:val="006520FD"/>
    <w:rsid w:val="006541D6"/>
    <w:rsid w:val="00654B5C"/>
    <w:rsid w:val="00664923"/>
    <w:rsid w:val="00665024"/>
    <w:rsid w:val="00672F27"/>
    <w:rsid w:val="00673117"/>
    <w:rsid w:val="00691DA5"/>
    <w:rsid w:val="006A0AF5"/>
    <w:rsid w:val="006A2F47"/>
    <w:rsid w:val="006A6ADF"/>
    <w:rsid w:val="006B6524"/>
    <w:rsid w:val="006D30E8"/>
    <w:rsid w:val="006F1523"/>
    <w:rsid w:val="00702AAD"/>
    <w:rsid w:val="00711DFB"/>
    <w:rsid w:val="007233AC"/>
    <w:rsid w:val="007267F9"/>
    <w:rsid w:val="00730959"/>
    <w:rsid w:val="00741996"/>
    <w:rsid w:val="00757F29"/>
    <w:rsid w:val="00764F29"/>
    <w:rsid w:val="00767D0D"/>
    <w:rsid w:val="007712D4"/>
    <w:rsid w:val="007777C8"/>
    <w:rsid w:val="0078535F"/>
    <w:rsid w:val="00793612"/>
    <w:rsid w:val="007A3781"/>
    <w:rsid w:val="007A5EFB"/>
    <w:rsid w:val="007B15D2"/>
    <w:rsid w:val="007B5286"/>
    <w:rsid w:val="007D7C20"/>
    <w:rsid w:val="007E1B7B"/>
    <w:rsid w:val="00802427"/>
    <w:rsid w:val="008025F2"/>
    <w:rsid w:val="00815352"/>
    <w:rsid w:val="00821BAA"/>
    <w:rsid w:val="00823D54"/>
    <w:rsid w:val="0082690D"/>
    <w:rsid w:val="00830C97"/>
    <w:rsid w:val="0084597C"/>
    <w:rsid w:val="00850A3B"/>
    <w:rsid w:val="00856B2B"/>
    <w:rsid w:val="00877294"/>
    <w:rsid w:val="008A6B40"/>
    <w:rsid w:val="008C6F34"/>
    <w:rsid w:val="008C73DC"/>
    <w:rsid w:val="008D17BC"/>
    <w:rsid w:val="008D2B50"/>
    <w:rsid w:val="008E30E5"/>
    <w:rsid w:val="008E7C89"/>
    <w:rsid w:val="008F16AB"/>
    <w:rsid w:val="00900424"/>
    <w:rsid w:val="00914996"/>
    <w:rsid w:val="00914DD7"/>
    <w:rsid w:val="00916113"/>
    <w:rsid w:val="009161B2"/>
    <w:rsid w:val="0092042C"/>
    <w:rsid w:val="00922131"/>
    <w:rsid w:val="009236FD"/>
    <w:rsid w:val="00924D7A"/>
    <w:rsid w:val="00953668"/>
    <w:rsid w:val="00967ED7"/>
    <w:rsid w:val="0097425A"/>
    <w:rsid w:val="009743C7"/>
    <w:rsid w:val="00983713"/>
    <w:rsid w:val="00983DF5"/>
    <w:rsid w:val="00987612"/>
    <w:rsid w:val="009B0201"/>
    <w:rsid w:val="009B50F6"/>
    <w:rsid w:val="009C4B01"/>
    <w:rsid w:val="009C7AF3"/>
    <w:rsid w:val="009D11DD"/>
    <w:rsid w:val="009D1492"/>
    <w:rsid w:val="009D14FF"/>
    <w:rsid w:val="009E32B7"/>
    <w:rsid w:val="009F2B7A"/>
    <w:rsid w:val="00A04757"/>
    <w:rsid w:val="00A05444"/>
    <w:rsid w:val="00A10227"/>
    <w:rsid w:val="00A324CC"/>
    <w:rsid w:val="00A32F44"/>
    <w:rsid w:val="00A32F83"/>
    <w:rsid w:val="00A36F82"/>
    <w:rsid w:val="00A56B69"/>
    <w:rsid w:val="00A57AA3"/>
    <w:rsid w:val="00A61CB1"/>
    <w:rsid w:val="00A66042"/>
    <w:rsid w:val="00A878BC"/>
    <w:rsid w:val="00A97718"/>
    <w:rsid w:val="00AB4D9E"/>
    <w:rsid w:val="00AC063D"/>
    <w:rsid w:val="00AC4BA8"/>
    <w:rsid w:val="00AE6C8B"/>
    <w:rsid w:val="00AF3020"/>
    <w:rsid w:val="00AF41D9"/>
    <w:rsid w:val="00B11CC1"/>
    <w:rsid w:val="00B15528"/>
    <w:rsid w:val="00B16B92"/>
    <w:rsid w:val="00B27FD9"/>
    <w:rsid w:val="00B31325"/>
    <w:rsid w:val="00B477A0"/>
    <w:rsid w:val="00B50B9F"/>
    <w:rsid w:val="00B52961"/>
    <w:rsid w:val="00B55516"/>
    <w:rsid w:val="00B7483A"/>
    <w:rsid w:val="00B7707B"/>
    <w:rsid w:val="00B81344"/>
    <w:rsid w:val="00B84452"/>
    <w:rsid w:val="00B859EE"/>
    <w:rsid w:val="00B927E5"/>
    <w:rsid w:val="00BB603B"/>
    <w:rsid w:val="00BC67A3"/>
    <w:rsid w:val="00BC6F92"/>
    <w:rsid w:val="00BE549E"/>
    <w:rsid w:val="00C157D0"/>
    <w:rsid w:val="00C23569"/>
    <w:rsid w:val="00C35B96"/>
    <w:rsid w:val="00C37EC4"/>
    <w:rsid w:val="00C42740"/>
    <w:rsid w:val="00C50696"/>
    <w:rsid w:val="00C706D6"/>
    <w:rsid w:val="00C719F4"/>
    <w:rsid w:val="00C74511"/>
    <w:rsid w:val="00C745EB"/>
    <w:rsid w:val="00C75B8D"/>
    <w:rsid w:val="00C77164"/>
    <w:rsid w:val="00C9192C"/>
    <w:rsid w:val="00CC16D1"/>
    <w:rsid w:val="00CC3DC7"/>
    <w:rsid w:val="00CD2BB9"/>
    <w:rsid w:val="00CE40D8"/>
    <w:rsid w:val="00CE4B07"/>
    <w:rsid w:val="00CE4CE2"/>
    <w:rsid w:val="00CF3DDA"/>
    <w:rsid w:val="00CF7346"/>
    <w:rsid w:val="00D029D2"/>
    <w:rsid w:val="00D07338"/>
    <w:rsid w:val="00D244B7"/>
    <w:rsid w:val="00D3286B"/>
    <w:rsid w:val="00D329D1"/>
    <w:rsid w:val="00D35D5E"/>
    <w:rsid w:val="00D42D1E"/>
    <w:rsid w:val="00D4402C"/>
    <w:rsid w:val="00D56E74"/>
    <w:rsid w:val="00D715D3"/>
    <w:rsid w:val="00D81629"/>
    <w:rsid w:val="00DA6C24"/>
    <w:rsid w:val="00DA6F1E"/>
    <w:rsid w:val="00DB4351"/>
    <w:rsid w:val="00DC47BB"/>
    <w:rsid w:val="00DD065F"/>
    <w:rsid w:val="00DD2936"/>
    <w:rsid w:val="00DD47EB"/>
    <w:rsid w:val="00DE3364"/>
    <w:rsid w:val="00DF0922"/>
    <w:rsid w:val="00DF11A1"/>
    <w:rsid w:val="00DF56AC"/>
    <w:rsid w:val="00E03637"/>
    <w:rsid w:val="00E15871"/>
    <w:rsid w:val="00E1763A"/>
    <w:rsid w:val="00E25820"/>
    <w:rsid w:val="00E301F3"/>
    <w:rsid w:val="00E36FA0"/>
    <w:rsid w:val="00E744F0"/>
    <w:rsid w:val="00E80D67"/>
    <w:rsid w:val="00E833F9"/>
    <w:rsid w:val="00E879EA"/>
    <w:rsid w:val="00EA1D35"/>
    <w:rsid w:val="00EA666D"/>
    <w:rsid w:val="00EC39FD"/>
    <w:rsid w:val="00EE29A1"/>
    <w:rsid w:val="00EE7DB3"/>
    <w:rsid w:val="00EF4C89"/>
    <w:rsid w:val="00F00E0C"/>
    <w:rsid w:val="00F1728D"/>
    <w:rsid w:val="00F23208"/>
    <w:rsid w:val="00F24430"/>
    <w:rsid w:val="00F35E9B"/>
    <w:rsid w:val="00F36215"/>
    <w:rsid w:val="00F43279"/>
    <w:rsid w:val="00F53CA8"/>
    <w:rsid w:val="00F65718"/>
    <w:rsid w:val="00F733AE"/>
    <w:rsid w:val="00F860E5"/>
    <w:rsid w:val="00F96F59"/>
    <w:rsid w:val="00FA2F07"/>
    <w:rsid w:val="00FA42DF"/>
    <w:rsid w:val="00FC37D1"/>
    <w:rsid w:val="00FC54CC"/>
    <w:rsid w:val="00FC61B6"/>
    <w:rsid w:val="00FC7446"/>
    <w:rsid w:val="00FD6101"/>
    <w:rsid w:val="00FE06C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68F65D"/>
  <w15:docId w15:val="{079EC360-EEF1-4978-879A-65401FD6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02E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202E9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A3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30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0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0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0E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0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0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0E8"/>
    <w:rPr>
      <w:vertAlign w:val="superscript"/>
    </w:rPr>
  </w:style>
  <w:style w:type="table" w:styleId="Rcsostblzat">
    <w:name w:val="Table Grid"/>
    <w:basedOn w:val="Normltblzat"/>
    <w:uiPriority w:val="59"/>
    <w:rsid w:val="00FD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733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0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363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03637"/>
    <w:pPr>
      <w:spacing w:after="100"/>
    </w:pPr>
  </w:style>
  <w:style w:type="paragraph" w:styleId="lfej">
    <w:name w:val="header"/>
    <w:basedOn w:val="Norml"/>
    <w:link w:val="lfejChar"/>
    <w:uiPriority w:val="99"/>
    <w:unhideWhenUsed/>
    <w:rsid w:val="00C7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511"/>
  </w:style>
  <w:style w:type="paragraph" w:styleId="llb">
    <w:name w:val="footer"/>
    <w:basedOn w:val="Norml"/>
    <w:link w:val="llbChar"/>
    <w:uiPriority w:val="99"/>
    <w:unhideWhenUsed/>
    <w:rsid w:val="00C7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511"/>
  </w:style>
  <w:style w:type="paragraph" w:styleId="Vltozat">
    <w:name w:val="Revision"/>
    <w:hidden/>
    <w:uiPriority w:val="99"/>
    <w:semiHidden/>
    <w:rsid w:val="00914996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520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5202E9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520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8A6B40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E1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l"/>
    <w:rsid w:val="00E1763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4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ipendiumhungaricum.hu/intezmenyipalyazat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ka.hu/international-programmes/3697/rights-and-obligations" TargetMode="External"/><Relationship Id="rId17" Type="http://schemas.openxmlformats.org/officeDocument/2006/relationships/hyperlink" Target="http://www.ajbh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kepzes@tpf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ka.hu/palyazatok/2962/stipendium-hungaric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ipendiumhungaricum.hu/intezmenyipalyazat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tudyinhungary.hu/study-in-hungary/menu/universiti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631F-DEE0-47CB-9AFE-E06E1D34F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6D22A-8025-4702-B110-FE05D1F7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3289</Words>
  <Characters>22695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Dobos Gábor</dc:creator>
  <cp:lastModifiedBy>Jánosik Orsolya</cp:lastModifiedBy>
  <cp:revision>29</cp:revision>
  <cp:lastPrinted>2016-09-08T09:39:00Z</cp:lastPrinted>
  <dcterms:created xsi:type="dcterms:W3CDTF">2016-09-06T15:44:00Z</dcterms:created>
  <dcterms:modified xsi:type="dcterms:W3CDTF">2016-10-05T07:59:00Z</dcterms:modified>
</cp:coreProperties>
</file>